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352" w:rsidRPr="00061EBD" w:rsidRDefault="00A17E00" w:rsidP="00506352">
      <w:pPr>
        <w:pStyle w:val="TitleB"/>
        <w:spacing w:after="0"/>
        <w:rPr>
          <w:sz w:val="20"/>
          <w:szCs w:val="20"/>
        </w:rPr>
      </w:pPr>
      <w:r w:rsidRPr="00061EBD">
        <w:rPr>
          <w:sz w:val="20"/>
          <w:szCs w:val="20"/>
        </w:rPr>
        <w:t>CHENGHE</w:t>
      </w:r>
      <w:r w:rsidR="00B66AD6" w:rsidRPr="00061EBD">
        <w:rPr>
          <w:sz w:val="20"/>
          <w:szCs w:val="20"/>
        </w:rPr>
        <w:t xml:space="preserve"> ACQUISITION CO.</w:t>
      </w:r>
    </w:p>
    <w:p w:rsidR="00126B8A" w:rsidRPr="00061EBD" w:rsidRDefault="007464E4" w:rsidP="00506352">
      <w:pPr>
        <w:pStyle w:val="TitleB"/>
        <w:spacing w:after="0"/>
        <w:rPr>
          <w:sz w:val="20"/>
          <w:szCs w:val="20"/>
        </w:rPr>
      </w:pPr>
      <w:r w:rsidRPr="00061EBD">
        <w:rPr>
          <w:sz w:val="20"/>
          <w:szCs w:val="20"/>
        </w:rPr>
        <w:t>RELATED PARTY TRANSACTIONS</w:t>
      </w:r>
      <w:r w:rsidR="00506352" w:rsidRPr="00061EBD">
        <w:rPr>
          <w:sz w:val="20"/>
          <w:szCs w:val="20"/>
        </w:rPr>
        <w:t xml:space="preserve"> </w:t>
      </w:r>
      <w:r w:rsidRPr="00061EBD">
        <w:rPr>
          <w:sz w:val="20"/>
          <w:szCs w:val="20"/>
        </w:rPr>
        <w:t>POLICY</w:t>
      </w:r>
      <w:bookmarkStart w:id="0" w:name="_GoBack"/>
      <w:bookmarkEnd w:id="0"/>
    </w:p>
    <w:p w:rsidR="00506352" w:rsidRPr="00061EBD" w:rsidRDefault="00506352" w:rsidP="00126B8A">
      <w:pPr>
        <w:pStyle w:val="BodyText"/>
        <w:spacing w:after="0"/>
        <w:ind w:firstLine="0"/>
        <w:jc w:val="center"/>
        <w:rPr>
          <w:b/>
          <w:sz w:val="20"/>
          <w:szCs w:val="20"/>
        </w:rPr>
      </w:pPr>
    </w:p>
    <w:p w:rsidR="00126B8A" w:rsidRPr="00061EBD" w:rsidRDefault="00126B8A" w:rsidP="00126B8A">
      <w:pPr>
        <w:pStyle w:val="BodyText"/>
        <w:spacing w:after="0"/>
        <w:ind w:firstLine="0"/>
        <w:jc w:val="center"/>
        <w:rPr>
          <w:b/>
          <w:sz w:val="20"/>
          <w:szCs w:val="20"/>
        </w:rPr>
      </w:pPr>
      <w:r w:rsidRPr="00061EBD">
        <w:rPr>
          <w:b/>
          <w:sz w:val="20"/>
          <w:szCs w:val="20"/>
        </w:rPr>
        <w:t xml:space="preserve">Effective </w:t>
      </w:r>
      <w:r w:rsidR="00223C49">
        <w:rPr>
          <w:b/>
          <w:sz w:val="20"/>
          <w:szCs w:val="20"/>
        </w:rPr>
        <w:t>April 27</w:t>
      </w:r>
      <w:r w:rsidR="005B6AAA" w:rsidRPr="00061EBD">
        <w:rPr>
          <w:b/>
          <w:sz w:val="20"/>
          <w:szCs w:val="20"/>
        </w:rPr>
        <w:t xml:space="preserve">, </w:t>
      </w:r>
      <w:r w:rsidR="00D23A4B" w:rsidRPr="00061EBD">
        <w:rPr>
          <w:b/>
          <w:sz w:val="20"/>
          <w:szCs w:val="20"/>
        </w:rPr>
        <w:t>202</w:t>
      </w:r>
      <w:r w:rsidR="00A17E00" w:rsidRPr="00061EBD">
        <w:rPr>
          <w:b/>
          <w:sz w:val="20"/>
          <w:szCs w:val="20"/>
        </w:rPr>
        <w:t>2</w:t>
      </w:r>
    </w:p>
    <w:p w:rsidR="0080189F" w:rsidRPr="00061EBD" w:rsidRDefault="0080189F" w:rsidP="0080189F">
      <w:pPr>
        <w:autoSpaceDE w:val="0"/>
        <w:autoSpaceDN w:val="0"/>
        <w:adjustRightInd w:val="0"/>
        <w:rPr>
          <w:b/>
          <w:bCs/>
          <w:sz w:val="20"/>
          <w:szCs w:val="20"/>
          <w:u w:val="single"/>
        </w:rPr>
      </w:pPr>
    </w:p>
    <w:p w:rsidR="00B52D45" w:rsidRPr="00061EBD" w:rsidRDefault="00B52D45" w:rsidP="00222646">
      <w:pPr>
        <w:numPr>
          <w:ilvl w:val="0"/>
          <w:numId w:val="37"/>
        </w:numPr>
        <w:autoSpaceDE w:val="0"/>
        <w:autoSpaceDN w:val="0"/>
        <w:adjustRightInd w:val="0"/>
        <w:spacing w:after="240"/>
        <w:ind w:hanging="540"/>
        <w:rPr>
          <w:b/>
          <w:bCs/>
          <w:sz w:val="20"/>
          <w:szCs w:val="20"/>
          <w:u w:val="single"/>
        </w:rPr>
      </w:pPr>
      <w:r w:rsidRPr="00061EBD">
        <w:rPr>
          <w:rFonts w:ascii="Times New Roman Bold" w:hAnsi="Times New Roman Bold" w:hint="eastAsia"/>
          <w:b/>
          <w:bCs/>
          <w:caps/>
          <w:sz w:val="20"/>
          <w:szCs w:val="20"/>
          <w:u w:val="single"/>
        </w:rPr>
        <w:t>Introduction</w:t>
      </w:r>
    </w:p>
    <w:p w:rsidR="00BA1B04" w:rsidRPr="00061EBD" w:rsidRDefault="00B52D45" w:rsidP="00DF2FE9">
      <w:pPr>
        <w:pStyle w:val="btf1"/>
        <w:rPr>
          <w:sz w:val="20"/>
          <w:szCs w:val="20"/>
        </w:rPr>
      </w:pPr>
      <w:r w:rsidRPr="00061EBD">
        <w:rPr>
          <w:sz w:val="20"/>
          <w:szCs w:val="20"/>
        </w:rPr>
        <w:t>This Related Party Transactions</w:t>
      </w:r>
      <w:r w:rsidR="007464E4" w:rsidRPr="00061EBD">
        <w:rPr>
          <w:sz w:val="20"/>
          <w:szCs w:val="20"/>
        </w:rPr>
        <w:t xml:space="preserve"> Policy</w:t>
      </w:r>
      <w:r w:rsidRPr="00061EBD">
        <w:rPr>
          <w:sz w:val="20"/>
          <w:szCs w:val="20"/>
        </w:rPr>
        <w:t xml:space="preserve"> (the “</w:t>
      </w:r>
      <w:r w:rsidRPr="00061EBD">
        <w:rPr>
          <w:b/>
          <w:i/>
          <w:sz w:val="20"/>
          <w:szCs w:val="20"/>
        </w:rPr>
        <w:t>Policy</w:t>
      </w:r>
      <w:r w:rsidRPr="00061EBD">
        <w:rPr>
          <w:sz w:val="20"/>
          <w:szCs w:val="20"/>
        </w:rPr>
        <w:t>”)</w:t>
      </w:r>
      <w:r w:rsidR="0028323C" w:rsidRPr="00061EBD">
        <w:rPr>
          <w:sz w:val="20"/>
          <w:szCs w:val="20"/>
        </w:rPr>
        <w:t xml:space="preserve"> </w:t>
      </w:r>
      <w:r w:rsidRPr="00061EBD">
        <w:rPr>
          <w:sz w:val="20"/>
          <w:szCs w:val="20"/>
        </w:rPr>
        <w:t>set</w:t>
      </w:r>
      <w:r w:rsidR="00BD4B88" w:rsidRPr="00061EBD">
        <w:rPr>
          <w:sz w:val="20"/>
          <w:szCs w:val="20"/>
        </w:rPr>
        <w:t>s</w:t>
      </w:r>
      <w:r w:rsidRPr="00061EBD">
        <w:rPr>
          <w:sz w:val="20"/>
          <w:szCs w:val="20"/>
        </w:rPr>
        <w:t xml:space="preserve"> for</w:t>
      </w:r>
      <w:r w:rsidR="007464E4" w:rsidRPr="00061EBD">
        <w:rPr>
          <w:sz w:val="20"/>
          <w:szCs w:val="20"/>
        </w:rPr>
        <w:t>th</w:t>
      </w:r>
      <w:r w:rsidRPr="00061EBD">
        <w:rPr>
          <w:sz w:val="20"/>
          <w:szCs w:val="20"/>
        </w:rPr>
        <w:t xml:space="preserve"> the policies and procedures</w:t>
      </w:r>
      <w:r w:rsidR="0028323C" w:rsidRPr="00061EBD">
        <w:rPr>
          <w:sz w:val="20"/>
          <w:szCs w:val="20"/>
        </w:rPr>
        <w:t xml:space="preserve"> of</w:t>
      </w:r>
      <w:r w:rsidR="00DB74AC" w:rsidRPr="00061EBD">
        <w:rPr>
          <w:sz w:val="20"/>
          <w:szCs w:val="20"/>
        </w:rPr>
        <w:t xml:space="preserve"> </w:t>
      </w:r>
      <w:r w:rsidR="00FA69D1" w:rsidRPr="00061EBD">
        <w:rPr>
          <w:sz w:val="20"/>
          <w:szCs w:val="20"/>
        </w:rPr>
        <w:t>Chenghe</w:t>
      </w:r>
      <w:r w:rsidR="00DB74AC" w:rsidRPr="00061EBD">
        <w:rPr>
          <w:sz w:val="20"/>
          <w:szCs w:val="20"/>
        </w:rPr>
        <w:t xml:space="preserve"> Acquisition Co.</w:t>
      </w:r>
      <w:r w:rsidR="006B0653" w:rsidRPr="00061EBD">
        <w:rPr>
          <w:sz w:val="20"/>
          <w:szCs w:val="20"/>
        </w:rPr>
        <w:t xml:space="preserve"> </w:t>
      </w:r>
      <w:r w:rsidR="0028323C" w:rsidRPr="00061EBD">
        <w:rPr>
          <w:sz w:val="20"/>
          <w:szCs w:val="20"/>
        </w:rPr>
        <w:t>(the “</w:t>
      </w:r>
      <w:r w:rsidR="0028323C" w:rsidRPr="00061EBD">
        <w:rPr>
          <w:b/>
          <w:i/>
          <w:sz w:val="20"/>
          <w:szCs w:val="20"/>
        </w:rPr>
        <w:t>Company</w:t>
      </w:r>
      <w:r w:rsidR="0028323C" w:rsidRPr="00061EBD">
        <w:rPr>
          <w:sz w:val="20"/>
          <w:szCs w:val="20"/>
        </w:rPr>
        <w:t>”)</w:t>
      </w:r>
      <w:r w:rsidRPr="00061EBD">
        <w:rPr>
          <w:sz w:val="20"/>
          <w:szCs w:val="20"/>
        </w:rPr>
        <w:t xml:space="preserve"> for</w:t>
      </w:r>
      <w:r w:rsidR="00BA1B04" w:rsidRPr="00061EBD">
        <w:rPr>
          <w:sz w:val="20"/>
          <w:szCs w:val="20"/>
        </w:rPr>
        <w:t xml:space="preserve"> review</w:t>
      </w:r>
      <w:r w:rsidRPr="00061EBD">
        <w:rPr>
          <w:sz w:val="20"/>
          <w:szCs w:val="20"/>
        </w:rPr>
        <w:t>ing and</w:t>
      </w:r>
      <w:r w:rsidR="00BA1B04" w:rsidRPr="00061EBD">
        <w:rPr>
          <w:sz w:val="20"/>
          <w:szCs w:val="20"/>
        </w:rPr>
        <w:t xml:space="preserve"> </w:t>
      </w:r>
      <w:r w:rsidRPr="00061EBD">
        <w:rPr>
          <w:sz w:val="20"/>
          <w:szCs w:val="20"/>
        </w:rPr>
        <w:t xml:space="preserve">approving </w:t>
      </w:r>
      <w:r w:rsidR="00E8796A" w:rsidRPr="00061EBD">
        <w:rPr>
          <w:sz w:val="20"/>
          <w:szCs w:val="20"/>
        </w:rPr>
        <w:t>or ratifying Related Party Transactions</w:t>
      </w:r>
      <w:r w:rsidRPr="00061EBD">
        <w:rPr>
          <w:sz w:val="20"/>
          <w:szCs w:val="20"/>
        </w:rPr>
        <w:t xml:space="preserve"> </w:t>
      </w:r>
      <w:r w:rsidR="00BA1B04" w:rsidRPr="00061EBD">
        <w:rPr>
          <w:sz w:val="20"/>
          <w:szCs w:val="20"/>
        </w:rPr>
        <w:t xml:space="preserve">(as defined </w:t>
      </w:r>
      <w:r w:rsidRPr="00061EBD">
        <w:rPr>
          <w:sz w:val="20"/>
          <w:szCs w:val="20"/>
        </w:rPr>
        <w:t>below</w:t>
      </w:r>
      <w:r w:rsidR="00BA1B04" w:rsidRPr="00061EBD">
        <w:rPr>
          <w:sz w:val="20"/>
          <w:szCs w:val="20"/>
        </w:rPr>
        <w:t>).</w:t>
      </w:r>
      <w:r w:rsidR="0028323C" w:rsidRPr="00061EBD">
        <w:rPr>
          <w:sz w:val="20"/>
          <w:szCs w:val="20"/>
        </w:rPr>
        <w:t xml:space="preserve"> This Policy has</w:t>
      </w:r>
      <w:r w:rsidR="0016368C" w:rsidRPr="00061EBD">
        <w:rPr>
          <w:sz w:val="20"/>
          <w:szCs w:val="20"/>
        </w:rPr>
        <w:t xml:space="preserve"> </w:t>
      </w:r>
      <w:r w:rsidR="0028323C" w:rsidRPr="00061EBD">
        <w:rPr>
          <w:sz w:val="20"/>
          <w:szCs w:val="20"/>
        </w:rPr>
        <w:t>been adopted in furtherance of the</w:t>
      </w:r>
      <w:r w:rsidR="0016368C" w:rsidRPr="00061EBD">
        <w:rPr>
          <w:sz w:val="20"/>
          <w:szCs w:val="20"/>
        </w:rPr>
        <w:t xml:space="preserve"> guidelines set forth in the</w:t>
      </w:r>
      <w:r w:rsidR="0028323C" w:rsidRPr="00061EBD">
        <w:rPr>
          <w:sz w:val="20"/>
          <w:szCs w:val="20"/>
        </w:rPr>
        <w:t xml:space="preserve"> Company’s Code of</w:t>
      </w:r>
      <w:r w:rsidR="00CB6F11" w:rsidRPr="00061EBD">
        <w:rPr>
          <w:sz w:val="20"/>
          <w:szCs w:val="20"/>
        </w:rPr>
        <w:t xml:space="preserve"> Business Conduct and</w:t>
      </w:r>
      <w:r w:rsidR="0028323C" w:rsidRPr="00061EBD">
        <w:rPr>
          <w:sz w:val="20"/>
          <w:szCs w:val="20"/>
        </w:rPr>
        <w:t xml:space="preserve"> Ethics, which prohibit directors, officers and employees of the Company from engaging in transactions that may constitute conflicts of interest or are otherwise inconsistent with the best interests of the Company and its </w:t>
      </w:r>
      <w:r w:rsidR="00D74381" w:rsidRPr="00061EBD">
        <w:rPr>
          <w:sz w:val="20"/>
          <w:szCs w:val="20"/>
        </w:rPr>
        <w:t>s</w:t>
      </w:r>
      <w:r w:rsidR="00B95BAE" w:rsidRPr="00061EBD">
        <w:rPr>
          <w:sz w:val="20"/>
          <w:szCs w:val="20"/>
        </w:rPr>
        <w:t>hare</w:t>
      </w:r>
      <w:r w:rsidR="00D74381" w:rsidRPr="00061EBD">
        <w:rPr>
          <w:sz w:val="20"/>
          <w:szCs w:val="20"/>
        </w:rPr>
        <w:t>holders</w:t>
      </w:r>
      <w:r w:rsidR="0028323C" w:rsidRPr="00061EBD">
        <w:rPr>
          <w:sz w:val="20"/>
          <w:szCs w:val="20"/>
        </w:rPr>
        <w:t>.</w:t>
      </w:r>
    </w:p>
    <w:p w:rsidR="00BA1B04" w:rsidRPr="00061EBD" w:rsidRDefault="00BA1B04" w:rsidP="00222646">
      <w:pPr>
        <w:numPr>
          <w:ilvl w:val="0"/>
          <w:numId w:val="37"/>
        </w:numPr>
        <w:autoSpaceDE w:val="0"/>
        <w:autoSpaceDN w:val="0"/>
        <w:adjustRightInd w:val="0"/>
        <w:spacing w:after="240"/>
        <w:ind w:hanging="450"/>
        <w:jc w:val="both"/>
        <w:rPr>
          <w:b/>
          <w:bCs/>
          <w:sz w:val="20"/>
          <w:szCs w:val="20"/>
          <w:u w:val="single"/>
        </w:rPr>
      </w:pPr>
      <w:r w:rsidRPr="00061EBD">
        <w:rPr>
          <w:rFonts w:ascii="Times New Roman Bold" w:hAnsi="Times New Roman Bold" w:hint="eastAsia"/>
          <w:b/>
          <w:bCs/>
          <w:caps/>
          <w:sz w:val="20"/>
          <w:szCs w:val="20"/>
          <w:u w:val="single"/>
        </w:rPr>
        <w:t>Definitions</w:t>
      </w:r>
    </w:p>
    <w:p w:rsidR="00BA1B04" w:rsidRPr="00061EBD" w:rsidRDefault="00BA1B04" w:rsidP="00DF2FE9">
      <w:pPr>
        <w:pStyle w:val="btf1"/>
        <w:rPr>
          <w:sz w:val="20"/>
          <w:szCs w:val="20"/>
        </w:rPr>
      </w:pPr>
      <w:r w:rsidRPr="00061EBD">
        <w:rPr>
          <w:sz w:val="20"/>
          <w:szCs w:val="20"/>
        </w:rPr>
        <w:t>“</w:t>
      </w:r>
      <w:r w:rsidRPr="00061EBD">
        <w:rPr>
          <w:b/>
          <w:i/>
          <w:sz w:val="20"/>
          <w:szCs w:val="20"/>
        </w:rPr>
        <w:t>Immediate Family Member</w:t>
      </w:r>
      <w:r w:rsidRPr="00061EBD">
        <w:rPr>
          <w:sz w:val="20"/>
          <w:szCs w:val="20"/>
        </w:rPr>
        <w:t xml:space="preserve">” means any child, stepchild, parent, stepparent, spouse, sibling, mother-in-law, father-in-law, son-in-law, daughter-in-law, brother-in-law or sister-in-law of a director, director nominee, executive officer or Significant </w:t>
      </w:r>
      <w:r w:rsidR="00D74381" w:rsidRPr="00061EBD">
        <w:rPr>
          <w:sz w:val="20"/>
          <w:szCs w:val="20"/>
        </w:rPr>
        <w:t>S</w:t>
      </w:r>
      <w:r w:rsidR="00B95BAE" w:rsidRPr="00061EBD">
        <w:rPr>
          <w:sz w:val="20"/>
          <w:szCs w:val="20"/>
        </w:rPr>
        <w:t>hare</w:t>
      </w:r>
      <w:r w:rsidR="00D74381" w:rsidRPr="00061EBD">
        <w:rPr>
          <w:sz w:val="20"/>
          <w:szCs w:val="20"/>
        </w:rPr>
        <w:t>holder</w:t>
      </w:r>
      <w:r w:rsidRPr="00061EBD">
        <w:rPr>
          <w:sz w:val="20"/>
          <w:szCs w:val="20"/>
        </w:rPr>
        <w:t xml:space="preserve"> (as defined herein) of the Company and any person (other than a tenant or employee) sharing the household of such director, director nominee, executive officer or Significant </w:t>
      </w:r>
      <w:r w:rsidR="00D74381" w:rsidRPr="00061EBD">
        <w:rPr>
          <w:sz w:val="20"/>
          <w:szCs w:val="20"/>
        </w:rPr>
        <w:t>S</w:t>
      </w:r>
      <w:r w:rsidR="00B95BAE" w:rsidRPr="00061EBD">
        <w:rPr>
          <w:sz w:val="20"/>
          <w:szCs w:val="20"/>
        </w:rPr>
        <w:t>hare</w:t>
      </w:r>
      <w:r w:rsidR="00D74381" w:rsidRPr="00061EBD">
        <w:rPr>
          <w:sz w:val="20"/>
          <w:szCs w:val="20"/>
        </w:rPr>
        <w:t xml:space="preserve">holder </w:t>
      </w:r>
      <w:r w:rsidRPr="00061EBD">
        <w:rPr>
          <w:sz w:val="20"/>
          <w:szCs w:val="20"/>
        </w:rPr>
        <w:t>of the Company.</w:t>
      </w:r>
    </w:p>
    <w:p w:rsidR="00BA1B04" w:rsidRPr="00061EBD" w:rsidRDefault="00BA1B04" w:rsidP="00DF2FE9">
      <w:pPr>
        <w:pStyle w:val="btf1"/>
        <w:rPr>
          <w:sz w:val="20"/>
          <w:szCs w:val="20"/>
        </w:rPr>
      </w:pPr>
      <w:r w:rsidRPr="00061EBD">
        <w:rPr>
          <w:sz w:val="20"/>
          <w:szCs w:val="20"/>
        </w:rPr>
        <w:t>“</w:t>
      </w:r>
      <w:r w:rsidRPr="00061EBD">
        <w:rPr>
          <w:b/>
          <w:i/>
          <w:sz w:val="20"/>
          <w:szCs w:val="20"/>
        </w:rPr>
        <w:t xml:space="preserve">Related </w:t>
      </w:r>
      <w:r w:rsidR="00B52D45" w:rsidRPr="00061EBD">
        <w:rPr>
          <w:b/>
          <w:i/>
          <w:sz w:val="20"/>
          <w:szCs w:val="20"/>
        </w:rPr>
        <w:t>Party</w:t>
      </w:r>
      <w:r w:rsidRPr="00061EBD">
        <w:rPr>
          <w:sz w:val="20"/>
          <w:szCs w:val="20"/>
        </w:rPr>
        <w:t xml:space="preserve">” means </w:t>
      </w:r>
      <w:r w:rsidR="00E8796A" w:rsidRPr="00061EBD">
        <w:rPr>
          <w:sz w:val="20"/>
          <w:szCs w:val="20"/>
        </w:rPr>
        <w:t xml:space="preserve">(a) </w:t>
      </w:r>
      <w:r w:rsidRPr="00061EBD">
        <w:rPr>
          <w:sz w:val="20"/>
          <w:szCs w:val="20"/>
        </w:rPr>
        <w:t>any</w:t>
      </w:r>
      <w:r w:rsidR="00BD4B88" w:rsidRPr="00061EBD">
        <w:rPr>
          <w:sz w:val="20"/>
          <w:szCs w:val="20"/>
        </w:rPr>
        <w:t xml:space="preserve"> person serving as a</w:t>
      </w:r>
      <w:r w:rsidRPr="00061EBD">
        <w:rPr>
          <w:sz w:val="20"/>
          <w:szCs w:val="20"/>
        </w:rPr>
        <w:t xml:space="preserve"> director, director</w:t>
      </w:r>
      <w:r w:rsidR="00BD4B88" w:rsidRPr="00061EBD">
        <w:rPr>
          <w:sz w:val="20"/>
          <w:szCs w:val="20"/>
        </w:rPr>
        <w:t xml:space="preserve"> nominee or</w:t>
      </w:r>
      <w:r w:rsidRPr="00061EBD">
        <w:rPr>
          <w:sz w:val="20"/>
          <w:szCs w:val="20"/>
        </w:rPr>
        <w:t xml:space="preserve"> executive officer</w:t>
      </w:r>
      <w:r w:rsidR="00FA0F5C" w:rsidRPr="00061EBD">
        <w:rPr>
          <w:sz w:val="20"/>
          <w:szCs w:val="20"/>
        </w:rPr>
        <w:t xml:space="preserve"> of the Company or any person </w:t>
      </w:r>
      <w:r w:rsidR="00BD4B88" w:rsidRPr="00061EBD">
        <w:rPr>
          <w:sz w:val="20"/>
          <w:szCs w:val="20"/>
        </w:rPr>
        <w:t xml:space="preserve">who has served in any of such roles </w:t>
      </w:r>
      <w:r w:rsidR="00E8796A" w:rsidRPr="00061EBD">
        <w:rPr>
          <w:sz w:val="20"/>
          <w:szCs w:val="20"/>
        </w:rPr>
        <w:t>since the beginning of the</w:t>
      </w:r>
      <w:r w:rsidR="00FA0F5C" w:rsidRPr="00061EBD">
        <w:rPr>
          <w:sz w:val="20"/>
          <w:szCs w:val="20"/>
        </w:rPr>
        <w:t xml:space="preserve"> most recent</w:t>
      </w:r>
      <w:r w:rsidR="00E8796A" w:rsidRPr="00061EBD">
        <w:rPr>
          <w:sz w:val="20"/>
          <w:szCs w:val="20"/>
        </w:rPr>
        <w:t xml:space="preserve"> fiscal year, even if he or she does n</w:t>
      </w:r>
      <w:r w:rsidR="00BD4B88" w:rsidRPr="00061EBD">
        <w:rPr>
          <w:sz w:val="20"/>
          <w:szCs w:val="20"/>
        </w:rPr>
        <w:t>ot currently serve in that role</w:t>
      </w:r>
      <w:r w:rsidR="00E8796A" w:rsidRPr="00061EBD">
        <w:rPr>
          <w:sz w:val="20"/>
          <w:szCs w:val="20"/>
        </w:rPr>
        <w:t>, (b) a S</w:t>
      </w:r>
      <w:r w:rsidRPr="00061EBD">
        <w:rPr>
          <w:sz w:val="20"/>
          <w:szCs w:val="20"/>
        </w:rPr>
        <w:t>ignifi</w:t>
      </w:r>
      <w:r w:rsidR="00E8796A" w:rsidRPr="00061EBD">
        <w:rPr>
          <w:sz w:val="20"/>
          <w:szCs w:val="20"/>
        </w:rPr>
        <w:t xml:space="preserve">cant </w:t>
      </w:r>
      <w:r w:rsidR="00D74381" w:rsidRPr="00061EBD">
        <w:rPr>
          <w:sz w:val="20"/>
          <w:szCs w:val="20"/>
        </w:rPr>
        <w:t>S</w:t>
      </w:r>
      <w:r w:rsidR="00B95BAE" w:rsidRPr="00061EBD">
        <w:rPr>
          <w:sz w:val="20"/>
          <w:szCs w:val="20"/>
        </w:rPr>
        <w:t>hareh</w:t>
      </w:r>
      <w:r w:rsidR="00D74381" w:rsidRPr="00061EBD">
        <w:rPr>
          <w:sz w:val="20"/>
          <w:szCs w:val="20"/>
        </w:rPr>
        <w:t>older</w:t>
      </w:r>
      <w:r w:rsidR="00E8796A" w:rsidRPr="00061EBD">
        <w:rPr>
          <w:sz w:val="20"/>
          <w:szCs w:val="20"/>
        </w:rPr>
        <w:t xml:space="preserve"> of the Company, (c) </w:t>
      </w:r>
      <w:r w:rsidRPr="00061EBD">
        <w:rPr>
          <w:sz w:val="20"/>
          <w:szCs w:val="20"/>
        </w:rPr>
        <w:t xml:space="preserve">any Immediate </w:t>
      </w:r>
      <w:r w:rsidR="00E8796A" w:rsidRPr="00061EBD">
        <w:rPr>
          <w:sz w:val="20"/>
          <w:szCs w:val="20"/>
        </w:rPr>
        <w:t xml:space="preserve">Family Member of </w:t>
      </w:r>
      <w:r w:rsidR="00FA0F5C" w:rsidRPr="00061EBD">
        <w:rPr>
          <w:sz w:val="20"/>
          <w:szCs w:val="20"/>
        </w:rPr>
        <w:t xml:space="preserve">any of </w:t>
      </w:r>
      <w:r w:rsidR="00E8796A" w:rsidRPr="00061EBD">
        <w:rPr>
          <w:sz w:val="20"/>
          <w:szCs w:val="20"/>
        </w:rPr>
        <w:t>the foregoing persons if the foreg</w:t>
      </w:r>
      <w:r w:rsidR="00FA0F5C" w:rsidRPr="00061EBD">
        <w:rPr>
          <w:sz w:val="20"/>
          <w:szCs w:val="20"/>
        </w:rPr>
        <w:t>oing person is a natural person</w:t>
      </w:r>
      <w:r w:rsidR="00E8796A" w:rsidRPr="00061EBD">
        <w:rPr>
          <w:sz w:val="20"/>
          <w:szCs w:val="20"/>
        </w:rPr>
        <w:t xml:space="preserve"> or (d) any other person who may be a </w:t>
      </w:r>
      <w:r w:rsidR="00FA05A6" w:rsidRPr="00061EBD">
        <w:rPr>
          <w:sz w:val="20"/>
          <w:szCs w:val="20"/>
        </w:rPr>
        <w:t>“related person”</w:t>
      </w:r>
      <w:r w:rsidR="00E8796A" w:rsidRPr="00061EBD">
        <w:rPr>
          <w:sz w:val="20"/>
          <w:szCs w:val="20"/>
        </w:rPr>
        <w:t xml:space="preserve"> </w:t>
      </w:r>
      <w:r w:rsidR="00FA0F5C" w:rsidRPr="00061EBD">
        <w:rPr>
          <w:sz w:val="20"/>
          <w:szCs w:val="20"/>
        </w:rPr>
        <w:t>pursuant to Item 404</w:t>
      </w:r>
      <w:r w:rsidR="00E8796A" w:rsidRPr="00061EBD">
        <w:rPr>
          <w:sz w:val="20"/>
          <w:szCs w:val="20"/>
        </w:rPr>
        <w:t xml:space="preserve"> of Regulation S-K</w:t>
      </w:r>
      <w:r w:rsidR="00FA0F5C" w:rsidRPr="00061EBD">
        <w:rPr>
          <w:sz w:val="20"/>
          <w:szCs w:val="20"/>
        </w:rPr>
        <w:t xml:space="preserve"> under the Securities Exchange Act of 1934, as amended.</w:t>
      </w:r>
    </w:p>
    <w:p w:rsidR="00BA1B04" w:rsidRPr="00061EBD" w:rsidRDefault="00BA1B04" w:rsidP="00DF2FE9">
      <w:pPr>
        <w:pStyle w:val="btf1"/>
        <w:rPr>
          <w:sz w:val="20"/>
          <w:szCs w:val="20"/>
        </w:rPr>
      </w:pPr>
      <w:r w:rsidRPr="00061EBD">
        <w:rPr>
          <w:sz w:val="20"/>
          <w:szCs w:val="20"/>
        </w:rPr>
        <w:t>“</w:t>
      </w:r>
      <w:r w:rsidRPr="00061EBD">
        <w:rPr>
          <w:b/>
          <w:i/>
          <w:sz w:val="20"/>
          <w:szCs w:val="20"/>
        </w:rPr>
        <w:t xml:space="preserve">Related </w:t>
      </w:r>
      <w:r w:rsidR="00B52D45" w:rsidRPr="00061EBD">
        <w:rPr>
          <w:b/>
          <w:i/>
          <w:sz w:val="20"/>
          <w:szCs w:val="20"/>
        </w:rPr>
        <w:t xml:space="preserve">Party </w:t>
      </w:r>
      <w:r w:rsidRPr="00061EBD">
        <w:rPr>
          <w:b/>
          <w:i/>
          <w:sz w:val="20"/>
          <w:szCs w:val="20"/>
        </w:rPr>
        <w:t>Transaction</w:t>
      </w:r>
      <w:r w:rsidRPr="00061EBD">
        <w:rPr>
          <w:sz w:val="20"/>
          <w:szCs w:val="20"/>
        </w:rPr>
        <w:t>” means a consummated or currently proposed transaction</w:t>
      </w:r>
      <w:r w:rsidR="00221DE4" w:rsidRPr="00061EBD">
        <w:rPr>
          <w:sz w:val="20"/>
          <w:szCs w:val="20"/>
        </w:rPr>
        <w:t xml:space="preserve"> (including, but not limited to, a financial transaction, arrangement or relationship, including any indebtedness or guarantee of indebtedness)</w:t>
      </w:r>
      <w:r w:rsidR="00FA05A6" w:rsidRPr="00061EBD">
        <w:rPr>
          <w:sz w:val="20"/>
          <w:szCs w:val="20"/>
        </w:rPr>
        <w:t xml:space="preserve"> or series of transactions</w:t>
      </w:r>
      <w:r w:rsidR="00E8796A" w:rsidRPr="00061EBD">
        <w:rPr>
          <w:sz w:val="20"/>
          <w:szCs w:val="20"/>
        </w:rPr>
        <w:t xml:space="preserve"> </w:t>
      </w:r>
      <w:r w:rsidRPr="00061EBD">
        <w:rPr>
          <w:sz w:val="20"/>
          <w:szCs w:val="20"/>
        </w:rPr>
        <w:t>in which</w:t>
      </w:r>
      <w:r w:rsidR="00EB3880" w:rsidRPr="00061EBD">
        <w:rPr>
          <w:sz w:val="20"/>
          <w:szCs w:val="20"/>
        </w:rPr>
        <w:t xml:space="preserve"> (i)</w:t>
      </w:r>
      <w:r w:rsidRPr="00061EBD">
        <w:rPr>
          <w:sz w:val="20"/>
          <w:szCs w:val="20"/>
        </w:rPr>
        <w:t xml:space="preserve"> the Company was or is to be a participant, </w:t>
      </w:r>
      <w:r w:rsidR="00EB3880" w:rsidRPr="00061EBD">
        <w:rPr>
          <w:sz w:val="20"/>
          <w:szCs w:val="20"/>
        </w:rPr>
        <w:t xml:space="preserve">(ii) </w:t>
      </w:r>
      <w:r w:rsidRPr="00061EBD">
        <w:rPr>
          <w:sz w:val="20"/>
          <w:szCs w:val="20"/>
        </w:rPr>
        <w:t>the amount of which exceeds $</w:t>
      </w:r>
      <w:r w:rsidR="00B52D45" w:rsidRPr="00061EBD">
        <w:rPr>
          <w:sz w:val="20"/>
          <w:szCs w:val="20"/>
        </w:rPr>
        <w:t>120</w:t>
      </w:r>
      <w:r w:rsidR="00FA05A6" w:rsidRPr="00061EBD">
        <w:rPr>
          <w:sz w:val="20"/>
          <w:szCs w:val="20"/>
        </w:rPr>
        <w:t>,000 in the aggregate</w:t>
      </w:r>
      <w:r w:rsidRPr="00061EBD">
        <w:rPr>
          <w:sz w:val="20"/>
          <w:szCs w:val="20"/>
        </w:rPr>
        <w:t xml:space="preserve"> and </w:t>
      </w:r>
      <w:r w:rsidR="00EB3880" w:rsidRPr="00061EBD">
        <w:rPr>
          <w:sz w:val="20"/>
          <w:szCs w:val="20"/>
        </w:rPr>
        <w:t xml:space="preserve">(iii) </w:t>
      </w:r>
      <w:r w:rsidRPr="00061EBD">
        <w:rPr>
          <w:sz w:val="20"/>
          <w:szCs w:val="20"/>
        </w:rPr>
        <w:t xml:space="preserve">the Related </w:t>
      </w:r>
      <w:r w:rsidR="00B52D45" w:rsidRPr="00061EBD">
        <w:rPr>
          <w:sz w:val="20"/>
          <w:szCs w:val="20"/>
        </w:rPr>
        <w:t xml:space="preserve">Party </w:t>
      </w:r>
      <w:r w:rsidRPr="00061EBD">
        <w:rPr>
          <w:sz w:val="20"/>
          <w:szCs w:val="20"/>
        </w:rPr>
        <w:t>had or will have a direct or indirect material interest.</w:t>
      </w:r>
      <w:r w:rsidR="00EB3880" w:rsidRPr="00061EBD">
        <w:rPr>
          <w:sz w:val="20"/>
          <w:szCs w:val="20"/>
        </w:rPr>
        <w:t xml:space="preserve"> A Related Party Transaction also includes any material amendment or modification to an existing Related Party Transaction regardless of whether such transaction has previously been approved in accordance with this Policy. </w:t>
      </w:r>
    </w:p>
    <w:p w:rsidR="00BA1B04" w:rsidRPr="00061EBD" w:rsidRDefault="00BA1B04" w:rsidP="00DF2FE9">
      <w:pPr>
        <w:pStyle w:val="btf1"/>
        <w:rPr>
          <w:sz w:val="20"/>
          <w:szCs w:val="20"/>
        </w:rPr>
      </w:pPr>
      <w:r w:rsidRPr="00061EBD">
        <w:rPr>
          <w:sz w:val="20"/>
          <w:szCs w:val="20"/>
        </w:rPr>
        <w:t xml:space="preserve">Notwithstanding the foregoing, a </w:t>
      </w:r>
      <w:r w:rsidR="0080189F" w:rsidRPr="00061EBD">
        <w:rPr>
          <w:sz w:val="20"/>
          <w:szCs w:val="20"/>
        </w:rPr>
        <w:t>Related Party</w:t>
      </w:r>
      <w:r w:rsidRPr="00061EBD">
        <w:rPr>
          <w:sz w:val="20"/>
          <w:szCs w:val="20"/>
        </w:rPr>
        <w:t xml:space="preserve"> Transaction does not include:</w:t>
      </w:r>
    </w:p>
    <w:p w:rsidR="00BA1B04" w:rsidRPr="00061EBD" w:rsidRDefault="00BA1B04" w:rsidP="00514A87">
      <w:pPr>
        <w:pStyle w:val="ListBullet"/>
        <w:numPr>
          <w:ilvl w:val="0"/>
          <w:numId w:val="39"/>
        </w:numPr>
        <w:ind w:hanging="630"/>
        <w:jc w:val="both"/>
        <w:rPr>
          <w:sz w:val="20"/>
          <w:szCs w:val="20"/>
        </w:rPr>
      </w:pPr>
      <w:r w:rsidRPr="00061EBD">
        <w:rPr>
          <w:sz w:val="20"/>
          <w:szCs w:val="20"/>
        </w:rPr>
        <w:t>the payment of compensation by the Company to an executive officer or director of the Company;</w:t>
      </w:r>
    </w:p>
    <w:p w:rsidR="00310769" w:rsidRPr="00061EBD" w:rsidRDefault="00310769" w:rsidP="00514A87">
      <w:pPr>
        <w:pStyle w:val="ListBullet"/>
        <w:numPr>
          <w:ilvl w:val="0"/>
          <w:numId w:val="39"/>
        </w:numPr>
        <w:ind w:hanging="630"/>
        <w:jc w:val="both"/>
        <w:rPr>
          <w:sz w:val="20"/>
          <w:szCs w:val="20"/>
        </w:rPr>
      </w:pPr>
      <w:r w:rsidRPr="00061EBD">
        <w:rPr>
          <w:sz w:val="20"/>
          <w:szCs w:val="20"/>
        </w:rPr>
        <w:t>amounts due from a Related Party for purchases of goods and services subject to usual trade terms, for ordinary business travel and expense payments and for other transactions in the ordinary course of business;</w:t>
      </w:r>
    </w:p>
    <w:p w:rsidR="00AA1AF2" w:rsidRPr="00061EBD" w:rsidRDefault="00AA1AF2" w:rsidP="00514A87">
      <w:pPr>
        <w:pStyle w:val="ListBullet"/>
        <w:numPr>
          <w:ilvl w:val="0"/>
          <w:numId w:val="39"/>
        </w:numPr>
        <w:ind w:hanging="630"/>
        <w:jc w:val="both"/>
        <w:rPr>
          <w:sz w:val="20"/>
          <w:szCs w:val="20"/>
        </w:rPr>
      </w:pPr>
      <w:r w:rsidRPr="00061EBD">
        <w:rPr>
          <w:sz w:val="20"/>
          <w:szCs w:val="20"/>
        </w:rPr>
        <w:t>a transaction where the rates or charges involved are determined by comp</w:t>
      </w:r>
      <w:r w:rsidR="002F4329" w:rsidRPr="00061EBD">
        <w:rPr>
          <w:sz w:val="20"/>
          <w:szCs w:val="20"/>
        </w:rPr>
        <w:t>etitive bids, or a</w:t>
      </w:r>
      <w:r w:rsidRPr="00061EBD">
        <w:rPr>
          <w:sz w:val="20"/>
          <w:szCs w:val="20"/>
        </w:rPr>
        <w:t xml:space="preserve"> transaction involv</w:t>
      </w:r>
      <w:r w:rsidR="002F4329" w:rsidRPr="00061EBD">
        <w:rPr>
          <w:sz w:val="20"/>
          <w:szCs w:val="20"/>
        </w:rPr>
        <w:t>ing</w:t>
      </w:r>
      <w:r w:rsidRPr="00061EBD">
        <w:rPr>
          <w:sz w:val="20"/>
          <w:szCs w:val="20"/>
        </w:rPr>
        <w:t xml:space="preserve"> the rendering of services as a common or contract carrier, or public utility, at rates or charges fixed in conformity with law or governmental authority;</w:t>
      </w:r>
    </w:p>
    <w:p w:rsidR="002F4329" w:rsidRPr="00061EBD" w:rsidRDefault="002F4329" w:rsidP="00514A87">
      <w:pPr>
        <w:pStyle w:val="ListBullet"/>
        <w:numPr>
          <w:ilvl w:val="0"/>
          <w:numId w:val="39"/>
        </w:numPr>
        <w:ind w:hanging="630"/>
        <w:jc w:val="both"/>
        <w:rPr>
          <w:sz w:val="20"/>
          <w:szCs w:val="20"/>
        </w:rPr>
      </w:pPr>
      <w:r w:rsidRPr="00061EBD">
        <w:rPr>
          <w:sz w:val="20"/>
          <w:szCs w:val="20"/>
        </w:rPr>
        <w:t>a transaction involving services as a bank depositary of funds, transfer agent, registrar, trustee under a trust indenture, or similar services;</w:t>
      </w:r>
      <w:r w:rsidR="00E7605F" w:rsidRPr="00061EBD">
        <w:rPr>
          <w:sz w:val="20"/>
          <w:szCs w:val="20"/>
        </w:rPr>
        <w:t xml:space="preserve"> or</w:t>
      </w:r>
    </w:p>
    <w:p w:rsidR="00BA1B04" w:rsidRPr="00061EBD" w:rsidRDefault="00BA1B04" w:rsidP="00514A87">
      <w:pPr>
        <w:pStyle w:val="ListBullet"/>
        <w:numPr>
          <w:ilvl w:val="0"/>
          <w:numId w:val="39"/>
        </w:numPr>
        <w:ind w:hanging="630"/>
        <w:jc w:val="both"/>
        <w:rPr>
          <w:sz w:val="20"/>
          <w:szCs w:val="20"/>
        </w:rPr>
      </w:pPr>
      <w:r w:rsidRPr="00061EBD">
        <w:rPr>
          <w:sz w:val="20"/>
          <w:szCs w:val="20"/>
        </w:rPr>
        <w:t xml:space="preserve">a transaction in which the interest of the </w:t>
      </w:r>
      <w:r w:rsidR="0080189F" w:rsidRPr="00061EBD">
        <w:rPr>
          <w:sz w:val="20"/>
          <w:szCs w:val="20"/>
        </w:rPr>
        <w:t>Related Party</w:t>
      </w:r>
      <w:r w:rsidRPr="00061EBD">
        <w:rPr>
          <w:sz w:val="20"/>
          <w:szCs w:val="20"/>
        </w:rPr>
        <w:t xml:space="preserve"> arises solely from ownership of a class of </w:t>
      </w:r>
      <w:r w:rsidR="002F4329" w:rsidRPr="00061EBD">
        <w:rPr>
          <w:sz w:val="20"/>
          <w:szCs w:val="20"/>
        </w:rPr>
        <w:t xml:space="preserve">equity </w:t>
      </w:r>
      <w:r w:rsidRPr="00061EBD">
        <w:rPr>
          <w:sz w:val="20"/>
          <w:szCs w:val="20"/>
        </w:rPr>
        <w:t xml:space="preserve">securities of the Company where all holders of that class of </w:t>
      </w:r>
      <w:r w:rsidR="002F4329" w:rsidRPr="00061EBD">
        <w:rPr>
          <w:sz w:val="20"/>
          <w:szCs w:val="20"/>
        </w:rPr>
        <w:t xml:space="preserve">equity </w:t>
      </w:r>
      <w:r w:rsidRPr="00061EBD">
        <w:rPr>
          <w:sz w:val="20"/>
          <w:szCs w:val="20"/>
        </w:rPr>
        <w:t>securities rec</w:t>
      </w:r>
      <w:r w:rsidR="00A408C5" w:rsidRPr="00061EBD">
        <w:rPr>
          <w:sz w:val="20"/>
          <w:szCs w:val="20"/>
        </w:rPr>
        <w:t xml:space="preserve">eive the same benefit on a pro </w:t>
      </w:r>
      <w:r w:rsidRPr="00061EBD">
        <w:rPr>
          <w:sz w:val="20"/>
          <w:szCs w:val="20"/>
        </w:rPr>
        <w:t>rata</w:t>
      </w:r>
      <w:r w:rsidR="00F23E10" w:rsidRPr="00061EBD">
        <w:rPr>
          <w:sz w:val="20"/>
          <w:szCs w:val="20"/>
        </w:rPr>
        <w:t xml:space="preserve"> basis</w:t>
      </w:r>
      <w:r w:rsidR="00E7605F" w:rsidRPr="00061EBD">
        <w:rPr>
          <w:sz w:val="20"/>
          <w:szCs w:val="20"/>
        </w:rPr>
        <w:t>.</w:t>
      </w:r>
    </w:p>
    <w:p w:rsidR="00BA1B04" w:rsidRPr="00061EBD" w:rsidRDefault="00BA1B04" w:rsidP="00DF2FE9">
      <w:pPr>
        <w:pStyle w:val="btf1"/>
        <w:rPr>
          <w:sz w:val="20"/>
          <w:szCs w:val="20"/>
        </w:rPr>
      </w:pPr>
      <w:r w:rsidRPr="00061EBD">
        <w:rPr>
          <w:sz w:val="20"/>
          <w:szCs w:val="20"/>
        </w:rPr>
        <w:lastRenderedPageBreak/>
        <w:t xml:space="preserve">A </w:t>
      </w:r>
      <w:r w:rsidR="0080189F" w:rsidRPr="00061EBD">
        <w:rPr>
          <w:sz w:val="20"/>
          <w:szCs w:val="20"/>
        </w:rPr>
        <w:t>Related Party</w:t>
      </w:r>
      <w:r w:rsidRPr="00061EBD">
        <w:rPr>
          <w:sz w:val="20"/>
          <w:szCs w:val="20"/>
        </w:rPr>
        <w:t xml:space="preserve"> is not deemed to have a</w:t>
      </w:r>
      <w:r w:rsidR="008F23A0" w:rsidRPr="00061EBD">
        <w:rPr>
          <w:sz w:val="20"/>
          <w:szCs w:val="20"/>
        </w:rPr>
        <w:t>n indirect</w:t>
      </w:r>
      <w:r w:rsidRPr="00061EBD">
        <w:rPr>
          <w:sz w:val="20"/>
          <w:szCs w:val="20"/>
        </w:rPr>
        <w:t xml:space="preserve"> material interest in a transaction</w:t>
      </w:r>
      <w:r w:rsidR="00F23E10" w:rsidRPr="00061EBD">
        <w:rPr>
          <w:sz w:val="20"/>
          <w:szCs w:val="20"/>
        </w:rPr>
        <w:t xml:space="preserve"> </w:t>
      </w:r>
      <w:r w:rsidRPr="00061EBD">
        <w:rPr>
          <w:sz w:val="20"/>
          <w:szCs w:val="20"/>
        </w:rPr>
        <w:t>if th</w:t>
      </w:r>
      <w:r w:rsidR="00BE0895" w:rsidRPr="00061EBD">
        <w:rPr>
          <w:sz w:val="20"/>
          <w:szCs w:val="20"/>
        </w:rPr>
        <w:t>e</w:t>
      </w:r>
      <w:r w:rsidRPr="00061EBD">
        <w:rPr>
          <w:sz w:val="20"/>
          <w:szCs w:val="20"/>
        </w:rPr>
        <w:t xml:space="preserve"> </w:t>
      </w:r>
      <w:r w:rsidR="0080189F" w:rsidRPr="00061EBD">
        <w:rPr>
          <w:sz w:val="20"/>
          <w:szCs w:val="20"/>
        </w:rPr>
        <w:t>Related Party</w:t>
      </w:r>
      <w:r w:rsidRPr="00061EBD">
        <w:rPr>
          <w:sz w:val="20"/>
          <w:szCs w:val="20"/>
        </w:rPr>
        <w:t>’s interest arises only from:</w:t>
      </w:r>
    </w:p>
    <w:p w:rsidR="00BA1B04" w:rsidRPr="00061EBD" w:rsidRDefault="00BA1B04" w:rsidP="00DF2FE9">
      <w:pPr>
        <w:pStyle w:val="ListBullet"/>
        <w:numPr>
          <w:ilvl w:val="0"/>
          <w:numId w:val="38"/>
        </w:numPr>
        <w:jc w:val="both"/>
        <w:rPr>
          <w:sz w:val="20"/>
          <w:szCs w:val="20"/>
        </w:rPr>
      </w:pPr>
      <w:r w:rsidRPr="00061EBD">
        <w:rPr>
          <w:sz w:val="20"/>
          <w:szCs w:val="20"/>
        </w:rPr>
        <w:t xml:space="preserve">the </w:t>
      </w:r>
      <w:r w:rsidR="0080189F" w:rsidRPr="00061EBD">
        <w:rPr>
          <w:sz w:val="20"/>
          <w:szCs w:val="20"/>
        </w:rPr>
        <w:t>Related Party</w:t>
      </w:r>
      <w:r w:rsidRPr="00061EBD">
        <w:rPr>
          <w:sz w:val="20"/>
          <w:szCs w:val="20"/>
        </w:rPr>
        <w:t>’s position as a director of another party to the transaction;</w:t>
      </w:r>
      <w:r w:rsidR="00F23E10" w:rsidRPr="00061EBD">
        <w:rPr>
          <w:sz w:val="20"/>
          <w:szCs w:val="20"/>
        </w:rPr>
        <w:t xml:space="preserve"> or</w:t>
      </w:r>
    </w:p>
    <w:p w:rsidR="00BA1B04" w:rsidRPr="00061EBD" w:rsidRDefault="00BA1B04" w:rsidP="00DF2FE9">
      <w:pPr>
        <w:pStyle w:val="ListBullet"/>
        <w:numPr>
          <w:ilvl w:val="0"/>
          <w:numId w:val="38"/>
        </w:numPr>
        <w:jc w:val="both"/>
        <w:rPr>
          <w:sz w:val="20"/>
          <w:szCs w:val="20"/>
        </w:rPr>
      </w:pPr>
      <w:r w:rsidRPr="00061EBD">
        <w:rPr>
          <w:sz w:val="20"/>
          <w:szCs w:val="20"/>
        </w:rPr>
        <w:t>the</w:t>
      </w:r>
      <w:r w:rsidR="008F23A0" w:rsidRPr="00061EBD">
        <w:rPr>
          <w:sz w:val="20"/>
          <w:szCs w:val="20"/>
        </w:rPr>
        <w:t xml:space="preserve"> direct or indirect</w:t>
      </w:r>
      <w:r w:rsidRPr="00061EBD">
        <w:rPr>
          <w:sz w:val="20"/>
          <w:szCs w:val="20"/>
        </w:rPr>
        <w:t xml:space="preserve"> ownership by such </w:t>
      </w:r>
      <w:r w:rsidR="0080189F" w:rsidRPr="00061EBD">
        <w:rPr>
          <w:sz w:val="20"/>
          <w:szCs w:val="20"/>
        </w:rPr>
        <w:t>Related Party</w:t>
      </w:r>
      <w:r w:rsidRPr="00061EBD">
        <w:rPr>
          <w:sz w:val="20"/>
          <w:szCs w:val="20"/>
        </w:rPr>
        <w:t xml:space="preserve"> and all other </w:t>
      </w:r>
      <w:r w:rsidR="00A113F6" w:rsidRPr="00061EBD">
        <w:rPr>
          <w:sz w:val="20"/>
          <w:szCs w:val="20"/>
        </w:rPr>
        <w:t>Related Partie</w:t>
      </w:r>
      <w:r w:rsidRPr="00061EBD">
        <w:rPr>
          <w:sz w:val="20"/>
          <w:szCs w:val="20"/>
        </w:rPr>
        <w:t xml:space="preserve">s, in the aggregate, of less than a </w:t>
      </w:r>
      <w:r w:rsidR="008F23A0" w:rsidRPr="00061EBD">
        <w:rPr>
          <w:sz w:val="20"/>
          <w:szCs w:val="20"/>
        </w:rPr>
        <w:t>10</w:t>
      </w:r>
      <w:r w:rsidRPr="00061EBD">
        <w:rPr>
          <w:sz w:val="20"/>
          <w:szCs w:val="20"/>
        </w:rPr>
        <w:t>% equity intere</w:t>
      </w:r>
      <w:r w:rsidR="00A113F6" w:rsidRPr="00061EBD">
        <w:rPr>
          <w:sz w:val="20"/>
          <w:szCs w:val="20"/>
        </w:rPr>
        <w:t>st in another person</w:t>
      </w:r>
      <w:r w:rsidR="008F23A0" w:rsidRPr="00061EBD">
        <w:rPr>
          <w:sz w:val="20"/>
          <w:szCs w:val="20"/>
        </w:rPr>
        <w:t xml:space="preserve"> or entity (other than a partnership)</w:t>
      </w:r>
      <w:r w:rsidR="00A113F6" w:rsidRPr="00061EBD">
        <w:rPr>
          <w:sz w:val="20"/>
          <w:szCs w:val="20"/>
        </w:rPr>
        <w:t xml:space="preserve"> </w:t>
      </w:r>
      <w:r w:rsidRPr="00061EBD">
        <w:rPr>
          <w:sz w:val="20"/>
          <w:szCs w:val="20"/>
        </w:rPr>
        <w:t>tha</w:t>
      </w:r>
      <w:r w:rsidR="008F23A0" w:rsidRPr="00061EBD">
        <w:rPr>
          <w:sz w:val="20"/>
          <w:szCs w:val="20"/>
        </w:rPr>
        <w:t>t is a party to the transaction; or</w:t>
      </w:r>
    </w:p>
    <w:p w:rsidR="008F23A0" w:rsidRPr="00061EBD" w:rsidRDefault="008F23A0" w:rsidP="00DF2FE9">
      <w:pPr>
        <w:pStyle w:val="ListBullet"/>
        <w:numPr>
          <w:ilvl w:val="0"/>
          <w:numId w:val="38"/>
        </w:numPr>
        <w:jc w:val="both"/>
        <w:rPr>
          <w:sz w:val="20"/>
          <w:szCs w:val="20"/>
        </w:rPr>
      </w:pPr>
      <w:r w:rsidRPr="00061EBD">
        <w:rPr>
          <w:sz w:val="20"/>
          <w:szCs w:val="20"/>
        </w:rPr>
        <w:t>both (i) and (ii)</w:t>
      </w:r>
      <w:r w:rsidR="00CA0357" w:rsidRPr="00061EBD">
        <w:rPr>
          <w:sz w:val="20"/>
          <w:szCs w:val="20"/>
        </w:rPr>
        <w:t>,</w:t>
      </w:r>
      <w:r w:rsidRPr="00061EBD">
        <w:rPr>
          <w:sz w:val="20"/>
          <w:szCs w:val="20"/>
        </w:rPr>
        <w:t xml:space="preserve"> above; or</w:t>
      </w:r>
    </w:p>
    <w:p w:rsidR="008F23A0" w:rsidRPr="00061EBD" w:rsidRDefault="008F23A0" w:rsidP="00DF2FE9">
      <w:pPr>
        <w:pStyle w:val="ListBullet"/>
        <w:numPr>
          <w:ilvl w:val="0"/>
          <w:numId w:val="38"/>
        </w:numPr>
        <w:jc w:val="both"/>
        <w:rPr>
          <w:sz w:val="20"/>
          <w:szCs w:val="20"/>
        </w:rPr>
      </w:pPr>
      <w:r w:rsidRPr="00061EBD">
        <w:rPr>
          <w:sz w:val="20"/>
          <w:szCs w:val="20"/>
        </w:rPr>
        <w:t>the Related Party’s position as a limited partner in a partnership in which the Related Party and all other Related Parties have an interest of less than 10%, and the Related Party is not a general partner of and does not hold another position in the partnership.</w:t>
      </w:r>
    </w:p>
    <w:p w:rsidR="00BA1B04" w:rsidRPr="00061EBD" w:rsidRDefault="00BA1B04" w:rsidP="00DF2FE9">
      <w:pPr>
        <w:pStyle w:val="btf1"/>
        <w:rPr>
          <w:sz w:val="20"/>
          <w:szCs w:val="20"/>
        </w:rPr>
      </w:pPr>
      <w:r w:rsidRPr="00061EBD">
        <w:rPr>
          <w:sz w:val="20"/>
          <w:szCs w:val="20"/>
        </w:rPr>
        <w:t>“</w:t>
      </w:r>
      <w:r w:rsidRPr="00061EBD">
        <w:rPr>
          <w:b/>
          <w:i/>
          <w:sz w:val="20"/>
          <w:szCs w:val="20"/>
        </w:rPr>
        <w:t xml:space="preserve">Significant </w:t>
      </w:r>
      <w:r w:rsidR="00D74381" w:rsidRPr="00061EBD">
        <w:rPr>
          <w:b/>
          <w:i/>
          <w:sz w:val="20"/>
          <w:szCs w:val="20"/>
        </w:rPr>
        <w:t>S</w:t>
      </w:r>
      <w:r w:rsidR="00B95BAE" w:rsidRPr="00061EBD">
        <w:rPr>
          <w:b/>
          <w:i/>
          <w:sz w:val="20"/>
          <w:szCs w:val="20"/>
        </w:rPr>
        <w:t>hare</w:t>
      </w:r>
      <w:r w:rsidR="00D74381" w:rsidRPr="00061EBD">
        <w:rPr>
          <w:b/>
          <w:i/>
          <w:sz w:val="20"/>
          <w:szCs w:val="20"/>
        </w:rPr>
        <w:t>holder</w:t>
      </w:r>
      <w:r w:rsidRPr="00061EBD">
        <w:rPr>
          <w:sz w:val="20"/>
          <w:szCs w:val="20"/>
        </w:rPr>
        <w:t xml:space="preserve">” means any </w:t>
      </w:r>
      <w:r w:rsidR="00446E83" w:rsidRPr="00061EBD">
        <w:rPr>
          <w:sz w:val="20"/>
          <w:szCs w:val="20"/>
        </w:rPr>
        <w:t xml:space="preserve">record or </w:t>
      </w:r>
      <w:r w:rsidRPr="00061EBD">
        <w:rPr>
          <w:sz w:val="20"/>
          <w:szCs w:val="20"/>
        </w:rPr>
        <w:t>beneficial owner of more than 5% of any class of the Company’s voting securities.</w:t>
      </w:r>
    </w:p>
    <w:p w:rsidR="00BA1B04" w:rsidRPr="00061EBD" w:rsidRDefault="006977F2" w:rsidP="00DF2FE9">
      <w:pPr>
        <w:numPr>
          <w:ilvl w:val="0"/>
          <w:numId w:val="37"/>
        </w:numPr>
        <w:autoSpaceDE w:val="0"/>
        <w:autoSpaceDN w:val="0"/>
        <w:adjustRightInd w:val="0"/>
        <w:spacing w:after="240"/>
        <w:jc w:val="both"/>
        <w:rPr>
          <w:rFonts w:ascii="Times New Roman Bold" w:hAnsi="Times New Roman Bold" w:hint="eastAsia"/>
          <w:b/>
          <w:bCs/>
          <w:caps/>
          <w:sz w:val="20"/>
          <w:szCs w:val="20"/>
          <w:u w:val="single"/>
        </w:rPr>
      </w:pPr>
      <w:r w:rsidRPr="00061EBD">
        <w:rPr>
          <w:rFonts w:ascii="Times New Roman Bold" w:hAnsi="Times New Roman Bold" w:hint="eastAsia"/>
          <w:b/>
          <w:bCs/>
          <w:caps/>
          <w:sz w:val="20"/>
          <w:szCs w:val="20"/>
          <w:u w:val="single"/>
        </w:rPr>
        <w:t xml:space="preserve">Approval </w:t>
      </w:r>
      <w:r w:rsidR="00BA1B04" w:rsidRPr="00061EBD">
        <w:rPr>
          <w:rFonts w:ascii="Times New Roman Bold" w:hAnsi="Times New Roman Bold" w:hint="eastAsia"/>
          <w:b/>
          <w:bCs/>
          <w:caps/>
          <w:sz w:val="20"/>
          <w:szCs w:val="20"/>
          <w:u w:val="single"/>
        </w:rPr>
        <w:t>Procedures</w:t>
      </w:r>
    </w:p>
    <w:p w:rsidR="00A4664C" w:rsidRPr="00061EBD" w:rsidRDefault="00A4664C" w:rsidP="00222646">
      <w:pPr>
        <w:pStyle w:val="ListParagraph"/>
        <w:numPr>
          <w:ilvl w:val="0"/>
          <w:numId w:val="41"/>
        </w:numPr>
        <w:autoSpaceDE w:val="0"/>
        <w:autoSpaceDN w:val="0"/>
        <w:adjustRightInd w:val="0"/>
        <w:spacing w:after="240"/>
        <w:ind w:left="1080"/>
        <w:jc w:val="both"/>
        <w:rPr>
          <w:b/>
          <w:bCs/>
          <w:i/>
          <w:sz w:val="20"/>
          <w:szCs w:val="20"/>
        </w:rPr>
      </w:pPr>
      <w:r w:rsidRPr="00061EBD">
        <w:rPr>
          <w:b/>
          <w:bCs/>
          <w:i/>
          <w:sz w:val="20"/>
          <w:szCs w:val="20"/>
        </w:rPr>
        <w:t>Required Information</w:t>
      </w:r>
    </w:p>
    <w:p w:rsidR="00ED3840" w:rsidRPr="00061EBD" w:rsidRDefault="00ED3840" w:rsidP="00DF2FE9">
      <w:pPr>
        <w:pStyle w:val="btf1"/>
        <w:rPr>
          <w:sz w:val="20"/>
          <w:szCs w:val="20"/>
        </w:rPr>
      </w:pPr>
      <w:r w:rsidRPr="00061EBD">
        <w:rPr>
          <w:sz w:val="20"/>
          <w:szCs w:val="20"/>
        </w:rPr>
        <w:t xml:space="preserve">No </w:t>
      </w:r>
      <w:r w:rsidR="0080189F" w:rsidRPr="00061EBD">
        <w:rPr>
          <w:sz w:val="20"/>
          <w:szCs w:val="20"/>
        </w:rPr>
        <w:t>Related Party</w:t>
      </w:r>
      <w:r w:rsidRPr="00061EBD">
        <w:rPr>
          <w:sz w:val="20"/>
          <w:szCs w:val="20"/>
        </w:rPr>
        <w:t xml:space="preserve"> Transaction shall be consummated unless the Audit Committee</w:t>
      </w:r>
      <w:r w:rsidR="00D7001B" w:rsidRPr="00061EBD">
        <w:rPr>
          <w:sz w:val="20"/>
          <w:szCs w:val="20"/>
        </w:rPr>
        <w:t xml:space="preserve"> (the “</w:t>
      </w:r>
      <w:r w:rsidR="00D7001B" w:rsidRPr="00061EBD">
        <w:rPr>
          <w:b/>
          <w:i/>
          <w:sz w:val="20"/>
          <w:szCs w:val="20"/>
        </w:rPr>
        <w:t>Committee</w:t>
      </w:r>
      <w:r w:rsidR="00D7001B" w:rsidRPr="00061EBD">
        <w:rPr>
          <w:sz w:val="20"/>
          <w:szCs w:val="20"/>
        </w:rPr>
        <w:t xml:space="preserve">”) </w:t>
      </w:r>
      <w:r w:rsidR="002A2BA3" w:rsidRPr="00061EBD">
        <w:rPr>
          <w:sz w:val="20"/>
          <w:szCs w:val="20"/>
        </w:rPr>
        <w:t>of the</w:t>
      </w:r>
      <w:r w:rsidR="00D7001B" w:rsidRPr="00061EBD">
        <w:rPr>
          <w:sz w:val="20"/>
          <w:szCs w:val="20"/>
        </w:rPr>
        <w:t xml:space="preserve"> Company’s Board of Directors (the “</w:t>
      </w:r>
      <w:r w:rsidR="00D7001B" w:rsidRPr="00061EBD">
        <w:rPr>
          <w:b/>
          <w:i/>
          <w:sz w:val="20"/>
          <w:szCs w:val="20"/>
        </w:rPr>
        <w:t>Board</w:t>
      </w:r>
      <w:r w:rsidR="00D7001B" w:rsidRPr="00061EBD">
        <w:rPr>
          <w:sz w:val="20"/>
          <w:szCs w:val="20"/>
        </w:rPr>
        <w:t xml:space="preserve">”) </w:t>
      </w:r>
      <w:r w:rsidRPr="00061EBD">
        <w:rPr>
          <w:sz w:val="20"/>
          <w:szCs w:val="20"/>
        </w:rPr>
        <w:t xml:space="preserve">has approved or ratified </w:t>
      </w:r>
      <w:r w:rsidR="008473D0" w:rsidRPr="00061EBD">
        <w:rPr>
          <w:sz w:val="20"/>
          <w:szCs w:val="20"/>
        </w:rPr>
        <w:t>it</w:t>
      </w:r>
      <w:r w:rsidRPr="00061EBD">
        <w:rPr>
          <w:sz w:val="20"/>
          <w:szCs w:val="20"/>
        </w:rPr>
        <w:t xml:space="preserve"> in accordance with the guidelines set forth herein. </w:t>
      </w:r>
      <w:r w:rsidR="00BA1B04" w:rsidRPr="00061EBD">
        <w:rPr>
          <w:sz w:val="20"/>
          <w:szCs w:val="20"/>
        </w:rPr>
        <w:t>Each director, director nominee and executive officer of the Company shall disclose to the Committee</w:t>
      </w:r>
      <w:r w:rsidR="006977F2" w:rsidRPr="00061EBD">
        <w:rPr>
          <w:sz w:val="20"/>
          <w:szCs w:val="20"/>
        </w:rPr>
        <w:t xml:space="preserve"> for its review and approval or ratification</w:t>
      </w:r>
      <w:r w:rsidR="00BA1B04" w:rsidRPr="00061EBD">
        <w:rPr>
          <w:sz w:val="20"/>
          <w:szCs w:val="20"/>
        </w:rPr>
        <w:t xml:space="preserve"> the </w:t>
      </w:r>
      <w:r w:rsidRPr="00061EBD">
        <w:rPr>
          <w:sz w:val="20"/>
          <w:szCs w:val="20"/>
        </w:rPr>
        <w:t xml:space="preserve">following </w:t>
      </w:r>
      <w:r w:rsidR="006977F2" w:rsidRPr="00061EBD">
        <w:rPr>
          <w:sz w:val="20"/>
          <w:szCs w:val="20"/>
        </w:rPr>
        <w:t>information</w:t>
      </w:r>
      <w:r w:rsidR="00BA1B04" w:rsidRPr="00061EBD">
        <w:rPr>
          <w:sz w:val="20"/>
          <w:szCs w:val="20"/>
        </w:rPr>
        <w:t xml:space="preserve"> relating to any </w:t>
      </w:r>
      <w:r w:rsidR="0080189F" w:rsidRPr="00061EBD">
        <w:rPr>
          <w:sz w:val="20"/>
          <w:szCs w:val="20"/>
        </w:rPr>
        <w:t>Related Party</w:t>
      </w:r>
      <w:r w:rsidR="00BA1B04" w:rsidRPr="00061EBD">
        <w:rPr>
          <w:sz w:val="20"/>
          <w:szCs w:val="20"/>
        </w:rPr>
        <w:t xml:space="preserve"> Transaction to which </w:t>
      </w:r>
      <w:r w:rsidR="008473D0" w:rsidRPr="00061EBD">
        <w:rPr>
          <w:sz w:val="20"/>
          <w:szCs w:val="20"/>
        </w:rPr>
        <w:t>he or she</w:t>
      </w:r>
      <w:r w:rsidR="00BA1B04" w:rsidRPr="00061EBD">
        <w:rPr>
          <w:sz w:val="20"/>
          <w:szCs w:val="20"/>
        </w:rPr>
        <w:t xml:space="preserve"> or any </w:t>
      </w:r>
      <w:r w:rsidR="008473D0" w:rsidRPr="00061EBD">
        <w:rPr>
          <w:sz w:val="20"/>
          <w:szCs w:val="20"/>
        </w:rPr>
        <w:t xml:space="preserve">of his or her </w:t>
      </w:r>
      <w:r w:rsidR="00BA1B04" w:rsidRPr="00061EBD">
        <w:rPr>
          <w:sz w:val="20"/>
          <w:szCs w:val="20"/>
        </w:rPr>
        <w:t>Immediate Family Member</w:t>
      </w:r>
      <w:r w:rsidR="008473D0" w:rsidRPr="00061EBD">
        <w:rPr>
          <w:sz w:val="20"/>
          <w:szCs w:val="20"/>
        </w:rPr>
        <w:t>s</w:t>
      </w:r>
      <w:r w:rsidR="00BA1B04" w:rsidRPr="00061EBD">
        <w:rPr>
          <w:sz w:val="20"/>
          <w:szCs w:val="20"/>
        </w:rPr>
        <w:t xml:space="preserve"> is</w:t>
      </w:r>
      <w:r w:rsidRPr="00061EBD">
        <w:rPr>
          <w:sz w:val="20"/>
          <w:szCs w:val="20"/>
        </w:rPr>
        <w:t xml:space="preserve"> or may be</w:t>
      </w:r>
      <w:r w:rsidR="006977F2" w:rsidRPr="00061EBD">
        <w:rPr>
          <w:sz w:val="20"/>
          <w:szCs w:val="20"/>
        </w:rPr>
        <w:t xml:space="preserve"> a party</w:t>
      </w:r>
      <w:r w:rsidRPr="00061EBD">
        <w:rPr>
          <w:sz w:val="20"/>
          <w:szCs w:val="20"/>
        </w:rPr>
        <w:t>:</w:t>
      </w:r>
    </w:p>
    <w:p w:rsidR="00222646" w:rsidRPr="00061EBD" w:rsidRDefault="00ED3840" w:rsidP="00222646">
      <w:pPr>
        <w:pStyle w:val="ListBullet"/>
        <w:numPr>
          <w:ilvl w:val="0"/>
          <w:numId w:val="40"/>
        </w:numPr>
        <w:ind w:left="1080"/>
        <w:jc w:val="both"/>
        <w:rPr>
          <w:sz w:val="20"/>
          <w:szCs w:val="20"/>
        </w:rPr>
      </w:pPr>
      <w:r w:rsidRPr="00061EBD">
        <w:rPr>
          <w:sz w:val="20"/>
          <w:szCs w:val="20"/>
        </w:rPr>
        <w:t xml:space="preserve">the name of the </w:t>
      </w:r>
      <w:r w:rsidR="0080189F" w:rsidRPr="00061EBD">
        <w:rPr>
          <w:sz w:val="20"/>
          <w:szCs w:val="20"/>
        </w:rPr>
        <w:t>Related Party</w:t>
      </w:r>
      <w:r w:rsidRPr="00061EBD">
        <w:rPr>
          <w:sz w:val="20"/>
          <w:szCs w:val="20"/>
        </w:rPr>
        <w:t xml:space="preserve"> and, if he or she is an Immediate Family Member, the nature of such Immediate Family Member’s relationship with the director, director nominee, executive officer or Significant </w:t>
      </w:r>
      <w:r w:rsidR="00B95BAE" w:rsidRPr="00061EBD">
        <w:rPr>
          <w:sz w:val="20"/>
          <w:szCs w:val="20"/>
        </w:rPr>
        <w:t>Share</w:t>
      </w:r>
      <w:r w:rsidR="00D74381" w:rsidRPr="00061EBD">
        <w:rPr>
          <w:sz w:val="20"/>
          <w:szCs w:val="20"/>
        </w:rPr>
        <w:t>holder</w:t>
      </w:r>
      <w:r w:rsidRPr="00061EBD">
        <w:rPr>
          <w:sz w:val="20"/>
          <w:szCs w:val="20"/>
        </w:rPr>
        <w:t xml:space="preserve"> of the Company;</w:t>
      </w:r>
    </w:p>
    <w:p w:rsidR="00222646" w:rsidRPr="00061EBD" w:rsidRDefault="00ED3840" w:rsidP="00222646">
      <w:pPr>
        <w:pStyle w:val="ListBullet"/>
        <w:numPr>
          <w:ilvl w:val="0"/>
          <w:numId w:val="40"/>
        </w:numPr>
        <w:ind w:left="1080"/>
        <w:jc w:val="both"/>
        <w:rPr>
          <w:sz w:val="20"/>
          <w:szCs w:val="20"/>
        </w:rPr>
      </w:pPr>
      <w:r w:rsidRPr="00061EBD">
        <w:rPr>
          <w:sz w:val="20"/>
          <w:szCs w:val="20"/>
        </w:rPr>
        <w:t xml:space="preserve">the </w:t>
      </w:r>
      <w:r w:rsidR="0080189F" w:rsidRPr="00061EBD">
        <w:rPr>
          <w:sz w:val="20"/>
          <w:szCs w:val="20"/>
        </w:rPr>
        <w:t>Related Party</w:t>
      </w:r>
      <w:r w:rsidRPr="00061EBD">
        <w:rPr>
          <w:sz w:val="20"/>
          <w:szCs w:val="20"/>
        </w:rPr>
        <w:t xml:space="preserve">’s interest in the transaction, including the </w:t>
      </w:r>
      <w:r w:rsidR="0080189F" w:rsidRPr="00061EBD">
        <w:rPr>
          <w:sz w:val="20"/>
          <w:szCs w:val="20"/>
        </w:rPr>
        <w:t>Related Party</w:t>
      </w:r>
      <w:r w:rsidRPr="00061EBD">
        <w:rPr>
          <w:sz w:val="20"/>
          <w:szCs w:val="20"/>
        </w:rPr>
        <w:t>’s position(s) or relationship(s) with, or ownership of, a firm, corporation, or other person or entity that is a party to, or has an interest in the transaction;</w:t>
      </w:r>
    </w:p>
    <w:p w:rsidR="00222646" w:rsidRPr="00061EBD" w:rsidRDefault="006977F2" w:rsidP="00222646">
      <w:pPr>
        <w:pStyle w:val="ListBullet"/>
        <w:numPr>
          <w:ilvl w:val="0"/>
          <w:numId w:val="40"/>
        </w:numPr>
        <w:ind w:left="1080"/>
        <w:jc w:val="both"/>
        <w:rPr>
          <w:sz w:val="20"/>
          <w:szCs w:val="20"/>
        </w:rPr>
      </w:pPr>
      <w:r w:rsidRPr="00061EBD">
        <w:rPr>
          <w:sz w:val="20"/>
          <w:szCs w:val="20"/>
        </w:rPr>
        <w:t xml:space="preserve">the material facts and terms of the proposed transaction, including </w:t>
      </w:r>
      <w:r w:rsidR="00ED3840" w:rsidRPr="00061EBD">
        <w:rPr>
          <w:sz w:val="20"/>
          <w:szCs w:val="20"/>
        </w:rPr>
        <w:t>the approximate dollar value of the amount involved;</w:t>
      </w:r>
    </w:p>
    <w:p w:rsidR="00222646" w:rsidRPr="00061EBD" w:rsidRDefault="00ED3840" w:rsidP="00222646">
      <w:pPr>
        <w:pStyle w:val="ListBullet"/>
        <w:numPr>
          <w:ilvl w:val="0"/>
          <w:numId w:val="40"/>
        </w:numPr>
        <w:ind w:left="1080"/>
        <w:jc w:val="both"/>
        <w:rPr>
          <w:sz w:val="20"/>
          <w:szCs w:val="20"/>
        </w:rPr>
      </w:pPr>
      <w:r w:rsidRPr="00061EBD">
        <w:rPr>
          <w:sz w:val="20"/>
          <w:szCs w:val="20"/>
        </w:rPr>
        <w:t xml:space="preserve">the approximate dollar value of the amount of the </w:t>
      </w:r>
      <w:r w:rsidR="0080189F" w:rsidRPr="00061EBD">
        <w:rPr>
          <w:sz w:val="20"/>
          <w:szCs w:val="20"/>
        </w:rPr>
        <w:t>Related Party</w:t>
      </w:r>
      <w:r w:rsidRPr="00061EBD">
        <w:rPr>
          <w:sz w:val="20"/>
          <w:szCs w:val="20"/>
        </w:rPr>
        <w:t>’s interest in the transaction, computed without regard to the amount of profit or loss; and</w:t>
      </w:r>
    </w:p>
    <w:p w:rsidR="00ED3840" w:rsidRPr="00061EBD" w:rsidRDefault="00ED3840" w:rsidP="00222646">
      <w:pPr>
        <w:pStyle w:val="ListBullet"/>
        <w:numPr>
          <w:ilvl w:val="0"/>
          <w:numId w:val="40"/>
        </w:numPr>
        <w:ind w:left="1080"/>
        <w:jc w:val="both"/>
        <w:rPr>
          <w:sz w:val="20"/>
          <w:szCs w:val="20"/>
        </w:rPr>
      </w:pPr>
      <w:r w:rsidRPr="00061EBD">
        <w:rPr>
          <w:sz w:val="20"/>
          <w:szCs w:val="20"/>
        </w:rPr>
        <w:t>in the case of indebtedness, the largest total amount of principal outstanding since the beginning of the Company last fiscal year, the amount of principal outstanding as of the last practicable date, the amount of principal paid since the beginning of the Company last fiscal year and the rate or amount of interest payable on the indebtedness.</w:t>
      </w:r>
    </w:p>
    <w:p w:rsidR="00A4664C" w:rsidRPr="00061EBD" w:rsidRDefault="00A113F6" w:rsidP="00222646">
      <w:pPr>
        <w:pStyle w:val="ListParagraph"/>
        <w:numPr>
          <w:ilvl w:val="0"/>
          <w:numId w:val="41"/>
        </w:numPr>
        <w:autoSpaceDE w:val="0"/>
        <w:autoSpaceDN w:val="0"/>
        <w:adjustRightInd w:val="0"/>
        <w:spacing w:after="240"/>
        <w:ind w:left="1080"/>
        <w:jc w:val="both"/>
        <w:rPr>
          <w:sz w:val="20"/>
          <w:szCs w:val="20"/>
        </w:rPr>
      </w:pPr>
      <w:r w:rsidRPr="00061EBD">
        <w:rPr>
          <w:b/>
          <w:i/>
          <w:sz w:val="20"/>
          <w:szCs w:val="20"/>
        </w:rPr>
        <w:t>Submission to the Committee</w:t>
      </w:r>
    </w:p>
    <w:p w:rsidR="00446E83" w:rsidRPr="00061EBD" w:rsidRDefault="00A4664C" w:rsidP="00DF2FE9">
      <w:pPr>
        <w:pStyle w:val="btf1"/>
        <w:rPr>
          <w:sz w:val="20"/>
          <w:szCs w:val="20"/>
        </w:rPr>
      </w:pPr>
      <w:r w:rsidRPr="00061EBD">
        <w:rPr>
          <w:sz w:val="20"/>
          <w:szCs w:val="20"/>
        </w:rPr>
        <w:t xml:space="preserve">Disclosure to the Committee </w:t>
      </w:r>
      <w:r w:rsidR="00BA1B04" w:rsidRPr="00061EBD">
        <w:rPr>
          <w:sz w:val="20"/>
          <w:szCs w:val="20"/>
        </w:rPr>
        <w:t xml:space="preserve">should occur before, if possible, or as soon as practicable after the </w:t>
      </w:r>
      <w:r w:rsidR="0080189F" w:rsidRPr="00061EBD">
        <w:rPr>
          <w:sz w:val="20"/>
          <w:szCs w:val="20"/>
        </w:rPr>
        <w:t>Related Party</w:t>
      </w:r>
      <w:r w:rsidR="00BA1B04" w:rsidRPr="00061EBD">
        <w:rPr>
          <w:sz w:val="20"/>
          <w:szCs w:val="20"/>
        </w:rPr>
        <w:t xml:space="preserve"> Transaction is effected, but in any event as soon as practicable after the director, director nominee or executive officer becomes aware of the </w:t>
      </w:r>
      <w:r w:rsidR="0080189F" w:rsidRPr="00061EBD">
        <w:rPr>
          <w:sz w:val="20"/>
          <w:szCs w:val="20"/>
        </w:rPr>
        <w:t>Related Party</w:t>
      </w:r>
      <w:r w:rsidR="00BA1B04" w:rsidRPr="00061EBD">
        <w:rPr>
          <w:sz w:val="20"/>
          <w:szCs w:val="20"/>
        </w:rPr>
        <w:t xml:space="preserve"> Transaction. </w:t>
      </w:r>
      <w:r w:rsidR="00446E83" w:rsidRPr="00061EBD">
        <w:rPr>
          <w:sz w:val="20"/>
          <w:szCs w:val="20"/>
        </w:rPr>
        <w:t>E</w:t>
      </w:r>
      <w:r w:rsidR="00BA1B04" w:rsidRPr="00061EBD">
        <w:rPr>
          <w:sz w:val="20"/>
          <w:szCs w:val="20"/>
        </w:rPr>
        <w:t xml:space="preserve">ach director and executive officer of the Company shall disclose </w:t>
      </w:r>
      <w:r w:rsidR="00ED3840" w:rsidRPr="00061EBD">
        <w:rPr>
          <w:sz w:val="20"/>
          <w:szCs w:val="20"/>
        </w:rPr>
        <w:t>any updates relating to such Related Party Transaction</w:t>
      </w:r>
      <w:r w:rsidR="006F5534" w:rsidRPr="00061EBD">
        <w:rPr>
          <w:sz w:val="20"/>
          <w:szCs w:val="20"/>
        </w:rPr>
        <w:t xml:space="preserve"> </w:t>
      </w:r>
      <w:r w:rsidRPr="00061EBD">
        <w:rPr>
          <w:sz w:val="20"/>
          <w:szCs w:val="20"/>
        </w:rPr>
        <w:t xml:space="preserve">to the </w:t>
      </w:r>
      <w:r w:rsidR="00E714D5" w:rsidRPr="00061EBD">
        <w:rPr>
          <w:sz w:val="20"/>
          <w:szCs w:val="20"/>
        </w:rPr>
        <w:t>C</w:t>
      </w:r>
      <w:r w:rsidR="006F5534" w:rsidRPr="00061EBD">
        <w:rPr>
          <w:sz w:val="20"/>
          <w:szCs w:val="20"/>
        </w:rPr>
        <w:t>ommittee.</w:t>
      </w:r>
    </w:p>
    <w:p w:rsidR="00446E83" w:rsidRPr="00061EBD" w:rsidRDefault="00446E83" w:rsidP="00DF2FE9">
      <w:pPr>
        <w:pStyle w:val="btf1"/>
        <w:rPr>
          <w:sz w:val="20"/>
          <w:szCs w:val="20"/>
        </w:rPr>
      </w:pPr>
      <w:r w:rsidRPr="00061EBD">
        <w:rPr>
          <w:sz w:val="20"/>
          <w:szCs w:val="20"/>
        </w:rPr>
        <w:t xml:space="preserve">Further, any director, director nominee or executive officer of the Company who becomes aware of a Related Party Transaction between the Company and a Significant </w:t>
      </w:r>
      <w:r w:rsidR="00D74381" w:rsidRPr="00061EBD">
        <w:rPr>
          <w:sz w:val="20"/>
          <w:szCs w:val="20"/>
        </w:rPr>
        <w:t>S</w:t>
      </w:r>
      <w:r w:rsidR="00B95BAE" w:rsidRPr="00061EBD">
        <w:rPr>
          <w:sz w:val="20"/>
          <w:szCs w:val="20"/>
        </w:rPr>
        <w:t>hare</w:t>
      </w:r>
      <w:r w:rsidR="00D74381" w:rsidRPr="00061EBD">
        <w:rPr>
          <w:sz w:val="20"/>
          <w:szCs w:val="20"/>
        </w:rPr>
        <w:t>holder</w:t>
      </w:r>
      <w:r w:rsidRPr="00061EBD">
        <w:rPr>
          <w:sz w:val="20"/>
          <w:szCs w:val="20"/>
        </w:rPr>
        <w:t xml:space="preserve"> shall, as soon as practicable, disclose to the Committee the required information with respect to such Related Party Transaction.</w:t>
      </w:r>
    </w:p>
    <w:p w:rsidR="00446E83" w:rsidRPr="00061EBD" w:rsidRDefault="00446E83" w:rsidP="00DF2FE9">
      <w:pPr>
        <w:pStyle w:val="btf1"/>
        <w:rPr>
          <w:sz w:val="20"/>
          <w:szCs w:val="20"/>
        </w:rPr>
      </w:pPr>
      <w:r w:rsidRPr="00061EBD">
        <w:rPr>
          <w:sz w:val="20"/>
          <w:szCs w:val="20"/>
        </w:rPr>
        <w:t>In addition, e</w:t>
      </w:r>
      <w:r w:rsidR="00451048" w:rsidRPr="00061EBD">
        <w:rPr>
          <w:sz w:val="20"/>
          <w:szCs w:val="20"/>
        </w:rPr>
        <w:t xml:space="preserve">ach director, director nominee and executive officer shall complete the questionnaire sent annually by the Company to such individual and shall disclose the </w:t>
      </w:r>
      <w:r w:rsidR="002554BB" w:rsidRPr="00061EBD">
        <w:rPr>
          <w:sz w:val="20"/>
          <w:szCs w:val="20"/>
        </w:rPr>
        <w:t>r</w:t>
      </w:r>
      <w:r w:rsidR="00451048" w:rsidRPr="00061EBD">
        <w:rPr>
          <w:sz w:val="20"/>
          <w:szCs w:val="20"/>
        </w:rPr>
        <w:t xml:space="preserve">equired </w:t>
      </w:r>
      <w:r w:rsidR="002554BB" w:rsidRPr="00061EBD">
        <w:rPr>
          <w:sz w:val="20"/>
          <w:szCs w:val="20"/>
        </w:rPr>
        <w:t>i</w:t>
      </w:r>
      <w:r w:rsidR="00451048" w:rsidRPr="00061EBD">
        <w:rPr>
          <w:sz w:val="20"/>
          <w:szCs w:val="20"/>
        </w:rPr>
        <w:t>nformation with regard to any proposed Related Party Transaction or any Related Party Transaction consummated since the beginning of the Company’</w:t>
      </w:r>
      <w:r w:rsidR="00A27E93" w:rsidRPr="00061EBD">
        <w:rPr>
          <w:sz w:val="20"/>
          <w:szCs w:val="20"/>
        </w:rPr>
        <w:t>s last fiscal year.</w:t>
      </w:r>
    </w:p>
    <w:p w:rsidR="00A113F6" w:rsidRPr="00061EBD" w:rsidRDefault="00BA1B04" w:rsidP="00DF2FE9">
      <w:pPr>
        <w:pStyle w:val="btf1"/>
        <w:rPr>
          <w:sz w:val="20"/>
          <w:szCs w:val="20"/>
        </w:rPr>
      </w:pPr>
      <w:r w:rsidRPr="00061EBD">
        <w:rPr>
          <w:sz w:val="20"/>
          <w:szCs w:val="20"/>
        </w:rPr>
        <w:t xml:space="preserve">In determining whether or not to approve or ratify a </w:t>
      </w:r>
      <w:r w:rsidR="0080189F" w:rsidRPr="00061EBD">
        <w:rPr>
          <w:sz w:val="20"/>
          <w:szCs w:val="20"/>
        </w:rPr>
        <w:t>Related Party</w:t>
      </w:r>
      <w:r w:rsidRPr="00061EBD">
        <w:rPr>
          <w:sz w:val="20"/>
          <w:szCs w:val="20"/>
        </w:rPr>
        <w:t xml:space="preserve"> Transaction, the </w:t>
      </w:r>
      <w:r w:rsidR="00CA7B3D" w:rsidRPr="00061EBD">
        <w:rPr>
          <w:sz w:val="20"/>
          <w:szCs w:val="20"/>
        </w:rPr>
        <w:t>Committee</w:t>
      </w:r>
      <w:r w:rsidRPr="00061EBD">
        <w:rPr>
          <w:sz w:val="20"/>
          <w:szCs w:val="20"/>
        </w:rPr>
        <w:t xml:space="preserve"> shall consider (a) the relevant facts and circumstances of the </w:t>
      </w:r>
      <w:r w:rsidR="005F617D" w:rsidRPr="00061EBD">
        <w:rPr>
          <w:sz w:val="20"/>
          <w:szCs w:val="20"/>
        </w:rPr>
        <w:t>transaction</w:t>
      </w:r>
      <w:r w:rsidRPr="00061EBD">
        <w:rPr>
          <w:sz w:val="20"/>
          <w:szCs w:val="20"/>
        </w:rPr>
        <w:t xml:space="preserve">, including if </w:t>
      </w:r>
      <w:r w:rsidR="004C5C3B" w:rsidRPr="00061EBD">
        <w:rPr>
          <w:sz w:val="20"/>
          <w:szCs w:val="20"/>
        </w:rPr>
        <w:t>the</w:t>
      </w:r>
      <w:r w:rsidR="005F617D" w:rsidRPr="00061EBD">
        <w:rPr>
          <w:sz w:val="20"/>
          <w:szCs w:val="20"/>
        </w:rPr>
        <w:t xml:space="preserve"> transaction</w:t>
      </w:r>
      <w:r w:rsidRPr="00061EBD">
        <w:rPr>
          <w:sz w:val="20"/>
          <w:szCs w:val="20"/>
        </w:rPr>
        <w:t xml:space="preserve"> is on terms comparable to those that could be obtained in arm’s length dealings with an unrelated third-party, (b) the extent of the Related </w:t>
      </w:r>
      <w:r w:rsidR="005F617D" w:rsidRPr="00061EBD">
        <w:rPr>
          <w:sz w:val="20"/>
          <w:szCs w:val="20"/>
        </w:rPr>
        <w:t xml:space="preserve">Party’s </w:t>
      </w:r>
      <w:r w:rsidRPr="00061EBD">
        <w:rPr>
          <w:sz w:val="20"/>
          <w:szCs w:val="20"/>
        </w:rPr>
        <w:t xml:space="preserve">interest in the </w:t>
      </w:r>
      <w:r w:rsidR="005F617D" w:rsidRPr="00061EBD">
        <w:rPr>
          <w:sz w:val="20"/>
          <w:szCs w:val="20"/>
        </w:rPr>
        <w:t>transaction</w:t>
      </w:r>
      <w:r w:rsidRPr="00061EBD">
        <w:rPr>
          <w:sz w:val="20"/>
          <w:szCs w:val="20"/>
        </w:rPr>
        <w:t xml:space="preserve">, (c) whether the </w:t>
      </w:r>
      <w:r w:rsidR="005F617D" w:rsidRPr="00061EBD">
        <w:rPr>
          <w:sz w:val="20"/>
          <w:szCs w:val="20"/>
        </w:rPr>
        <w:t>transaction</w:t>
      </w:r>
      <w:r w:rsidRPr="00061EBD">
        <w:rPr>
          <w:sz w:val="20"/>
          <w:szCs w:val="20"/>
        </w:rPr>
        <w:t xml:space="preserve"> contravenes the Company’s Code of </w:t>
      </w:r>
      <w:r w:rsidR="00CB6F11" w:rsidRPr="00061EBD">
        <w:rPr>
          <w:sz w:val="20"/>
          <w:szCs w:val="20"/>
        </w:rPr>
        <w:t>Business Conduct and Ethics</w:t>
      </w:r>
      <w:r w:rsidR="005F617D" w:rsidRPr="00061EBD">
        <w:rPr>
          <w:sz w:val="20"/>
          <w:szCs w:val="20"/>
        </w:rPr>
        <w:t xml:space="preserve"> or </w:t>
      </w:r>
      <w:r w:rsidR="00A4664C" w:rsidRPr="00061EBD">
        <w:rPr>
          <w:sz w:val="20"/>
          <w:szCs w:val="20"/>
        </w:rPr>
        <w:t>other</w:t>
      </w:r>
      <w:r w:rsidR="005F617D" w:rsidRPr="00061EBD">
        <w:rPr>
          <w:sz w:val="20"/>
          <w:szCs w:val="20"/>
        </w:rPr>
        <w:t xml:space="preserve"> policies</w:t>
      </w:r>
      <w:r w:rsidRPr="00061EBD">
        <w:rPr>
          <w:sz w:val="20"/>
          <w:szCs w:val="20"/>
        </w:rPr>
        <w:t xml:space="preserve">, (d) whether the relationship underlying the </w:t>
      </w:r>
      <w:r w:rsidR="005F617D" w:rsidRPr="00061EBD">
        <w:rPr>
          <w:sz w:val="20"/>
          <w:szCs w:val="20"/>
        </w:rPr>
        <w:t>transaction</w:t>
      </w:r>
      <w:r w:rsidRPr="00061EBD">
        <w:rPr>
          <w:sz w:val="20"/>
          <w:szCs w:val="20"/>
        </w:rPr>
        <w:t xml:space="preserve"> is believed to </w:t>
      </w:r>
      <w:r w:rsidR="004C5C3B" w:rsidRPr="00061EBD">
        <w:rPr>
          <w:sz w:val="20"/>
          <w:szCs w:val="20"/>
        </w:rPr>
        <w:t>be in</w:t>
      </w:r>
      <w:r w:rsidRPr="00061EBD">
        <w:rPr>
          <w:sz w:val="20"/>
          <w:szCs w:val="20"/>
        </w:rPr>
        <w:t xml:space="preserve"> the best interest</w:t>
      </w:r>
      <w:r w:rsidR="004C5C3B" w:rsidRPr="00061EBD">
        <w:rPr>
          <w:sz w:val="20"/>
          <w:szCs w:val="20"/>
        </w:rPr>
        <w:t>s</w:t>
      </w:r>
      <w:r w:rsidRPr="00061EBD">
        <w:rPr>
          <w:sz w:val="20"/>
          <w:szCs w:val="20"/>
        </w:rPr>
        <w:t xml:space="preserve"> of the Company and its </w:t>
      </w:r>
      <w:r w:rsidR="00D74381" w:rsidRPr="00061EBD">
        <w:rPr>
          <w:sz w:val="20"/>
          <w:szCs w:val="20"/>
        </w:rPr>
        <w:t>s</w:t>
      </w:r>
      <w:r w:rsidR="00B95BAE" w:rsidRPr="00061EBD">
        <w:rPr>
          <w:sz w:val="20"/>
          <w:szCs w:val="20"/>
        </w:rPr>
        <w:t>hare</w:t>
      </w:r>
      <w:r w:rsidR="00D74381" w:rsidRPr="00061EBD">
        <w:rPr>
          <w:sz w:val="20"/>
          <w:szCs w:val="20"/>
        </w:rPr>
        <w:t>holders</w:t>
      </w:r>
      <w:r w:rsidRPr="00061EBD">
        <w:rPr>
          <w:sz w:val="20"/>
          <w:szCs w:val="20"/>
        </w:rPr>
        <w:t xml:space="preserve"> and (e) </w:t>
      </w:r>
      <w:r w:rsidR="005F617D" w:rsidRPr="00061EBD">
        <w:rPr>
          <w:sz w:val="20"/>
          <w:szCs w:val="20"/>
        </w:rPr>
        <w:t xml:space="preserve">if such Related Party is a director or his or her Immediate Family Member, </w:t>
      </w:r>
      <w:r w:rsidRPr="00061EBD">
        <w:rPr>
          <w:sz w:val="20"/>
          <w:szCs w:val="20"/>
        </w:rPr>
        <w:t xml:space="preserve">the effect that </w:t>
      </w:r>
      <w:r w:rsidR="004C5C3B" w:rsidRPr="00061EBD">
        <w:rPr>
          <w:sz w:val="20"/>
          <w:szCs w:val="20"/>
        </w:rPr>
        <w:t>the</w:t>
      </w:r>
      <w:r w:rsidR="005F617D" w:rsidRPr="00061EBD">
        <w:rPr>
          <w:sz w:val="20"/>
          <w:szCs w:val="20"/>
        </w:rPr>
        <w:t xml:space="preserve"> transaction</w:t>
      </w:r>
      <w:r w:rsidRPr="00061EBD">
        <w:rPr>
          <w:sz w:val="20"/>
          <w:szCs w:val="20"/>
        </w:rPr>
        <w:t xml:space="preserve"> may have on </w:t>
      </w:r>
      <w:r w:rsidR="005F617D" w:rsidRPr="00061EBD">
        <w:rPr>
          <w:sz w:val="20"/>
          <w:szCs w:val="20"/>
        </w:rPr>
        <w:t xml:space="preserve">the </w:t>
      </w:r>
      <w:r w:rsidRPr="00061EBD">
        <w:rPr>
          <w:sz w:val="20"/>
          <w:szCs w:val="20"/>
        </w:rPr>
        <w:t>director’s status as a</w:t>
      </w:r>
      <w:r w:rsidR="005F617D" w:rsidRPr="00061EBD">
        <w:rPr>
          <w:sz w:val="20"/>
          <w:szCs w:val="20"/>
        </w:rPr>
        <w:t>n</w:t>
      </w:r>
      <w:r w:rsidRPr="00061EBD">
        <w:rPr>
          <w:sz w:val="20"/>
          <w:szCs w:val="20"/>
        </w:rPr>
        <w:t xml:space="preserve"> independent member of the Board and eligibility to serve on committees of the Board pursuant to </w:t>
      </w:r>
      <w:r w:rsidR="00446E83" w:rsidRPr="00061EBD">
        <w:rPr>
          <w:sz w:val="20"/>
          <w:szCs w:val="20"/>
        </w:rPr>
        <w:t xml:space="preserve">U.S. Securities and Exchange Commission </w:t>
      </w:r>
      <w:r w:rsidRPr="00061EBD">
        <w:rPr>
          <w:sz w:val="20"/>
          <w:szCs w:val="20"/>
        </w:rPr>
        <w:t>rules and applicable stock exchange listing standards.</w:t>
      </w:r>
      <w:r w:rsidR="00A4664C" w:rsidRPr="00061EBD">
        <w:rPr>
          <w:sz w:val="20"/>
          <w:szCs w:val="20"/>
        </w:rPr>
        <w:t xml:space="preserve"> The Committee (or Chair) shall approve or disapprove of the Related Party Transaction in its</w:t>
      </w:r>
      <w:r w:rsidR="004C5C3B" w:rsidRPr="00061EBD">
        <w:rPr>
          <w:sz w:val="20"/>
          <w:szCs w:val="20"/>
        </w:rPr>
        <w:t xml:space="preserve"> or his or her sole discretion.</w:t>
      </w:r>
    </w:p>
    <w:p w:rsidR="00BA1B04" w:rsidRPr="00061EBD" w:rsidRDefault="00A4664C" w:rsidP="00DF2FE9">
      <w:pPr>
        <w:pStyle w:val="btf1"/>
        <w:rPr>
          <w:sz w:val="20"/>
          <w:szCs w:val="20"/>
        </w:rPr>
      </w:pPr>
      <w:r w:rsidRPr="00061EBD">
        <w:rPr>
          <w:sz w:val="20"/>
          <w:szCs w:val="20"/>
        </w:rPr>
        <w:t xml:space="preserve">If the Related Party Transaction is not approved, the director or executive officer must forgo any participation in </w:t>
      </w:r>
      <w:r w:rsidR="00A57418" w:rsidRPr="00061EBD">
        <w:rPr>
          <w:sz w:val="20"/>
          <w:szCs w:val="20"/>
        </w:rPr>
        <w:t>the t</w:t>
      </w:r>
      <w:r w:rsidRPr="00061EBD">
        <w:rPr>
          <w:sz w:val="20"/>
          <w:szCs w:val="20"/>
        </w:rPr>
        <w:t>ransaction.</w:t>
      </w:r>
      <w:r w:rsidR="00A113F6" w:rsidRPr="00061EBD">
        <w:rPr>
          <w:sz w:val="20"/>
          <w:szCs w:val="20"/>
        </w:rPr>
        <w:t xml:space="preserve"> If a Related Party Transaction is already completed and the Committee determines not to ratify </w:t>
      </w:r>
      <w:r w:rsidR="00A57418" w:rsidRPr="00061EBD">
        <w:rPr>
          <w:sz w:val="20"/>
          <w:szCs w:val="20"/>
        </w:rPr>
        <w:t>it</w:t>
      </w:r>
      <w:r w:rsidR="00A113F6" w:rsidRPr="00061EBD">
        <w:rPr>
          <w:sz w:val="20"/>
          <w:szCs w:val="20"/>
        </w:rPr>
        <w:t>, the Committee shall determine if rescission of the transaction and/or any disci</w:t>
      </w:r>
      <w:r w:rsidR="00A57418" w:rsidRPr="00061EBD">
        <w:rPr>
          <w:sz w:val="20"/>
          <w:szCs w:val="20"/>
        </w:rPr>
        <w:t>plinary action is appropriate.</w:t>
      </w:r>
    </w:p>
    <w:p w:rsidR="00BA1B04" w:rsidRPr="00061EBD" w:rsidRDefault="00BA1B04" w:rsidP="00DF2FE9">
      <w:pPr>
        <w:pStyle w:val="btf1"/>
        <w:rPr>
          <w:sz w:val="20"/>
          <w:szCs w:val="20"/>
        </w:rPr>
      </w:pPr>
      <w:r w:rsidRPr="00061EBD">
        <w:rPr>
          <w:sz w:val="20"/>
          <w:szCs w:val="20"/>
        </w:rPr>
        <w:t>No director</w:t>
      </w:r>
      <w:r w:rsidR="00A4664C" w:rsidRPr="00061EBD">
        <w:rPr>
          <w:sz w:val="20"/>
          <w:szCs w:val="20"/>
        </w:rPr>
        <w:t xml:space="preserve"> or executive officer</w:t>
      </w:r>
      <w:r w:rsidRPr="00061EBD">
        <w:rPr>
          <w:sz w:val="20"/>
          <w:szCs w:val="20"/>
        </w:rPr>
        <w:t xml:space="preserve"> shall participate in any discussion of, or decision concerning, a </w:t>
      </w:r>
      <w:r w:rsidR="005F617D" w:rsidRPr="00061EBD">
        <w:rPr>
          <w:sz w:val="20"/>
          <w:szCs w:val="20"/>
        </w:rPr>
        <w:t xml:space="preserve">potential </w:t>
      </w:r>
      <w:r w:rsidRPr="00061EBD">
        <w:rPr>
          <w:sz w:val="20"/>
          <w:szCs w:val="20"/>
        </w:rPr>
        <w:t xml:space="preserve">Related </w:t>
      </w:r>
      <w:r w:rsidR="005F617D" w:rsidRPr="00061EBD">
        <w:rPr>
          <w:sz w:val="20"/>
          <w:szCs w:val="20"/>
        </w:rPr>
        <w:t xml:space="preserve">Party </w:t>
      </w:r>
      <w:r w:rsidRPr="00061EBD">
        <w:rPr>
          <w:sz w:val="20"/>
          <w:szCs w:val="20"/>
        </w:rPr>
        <w:t xml:space="preserve">Transaction as to which he or she is </w:t>
      </w:r>
      <w:r w:rsidR="005F617D" w:rsidRPr="00061EBD">
        <w:rPr>
          <w:sz w:val="20"/>
          <w:szCs w:val="20"/>
        </w:rPr>
        <w:t>considered the Related Party</w:t>
      </w:r>
      <w:r w:rsidRPr="00061EBD">
        <w:rPr>
          <w:sz w:val="20"/>
          <w:szCs w:val="20"/>
        </w:rPr>
        <w:t>.</w:t>
      </w:r>
      <w:r w:rsidR="00A4664C" w:rsidRPr="00061EBD">
        <w:rPr>
          <w:sz w:val="20"/>
          <w:szCs w:val="20"/>
        </w:rPr>
        <w:t xml:space="preserve"> If more than one member of the Committee is interested such that the Committee fails to achieve a quorum, the Committee shall refer the transaction to a disi</w:t>
      </w:r>
      <w:r w:rsidR="00E773F1" w:rsidRPr="00061EBD">
        <w:rPr>
          <w:sz w:val="20"/>
          <w:szCs w:val="20"/>
        </w:rPr>
        <w:t>nterested quorum of the Board.</w:t>
      </w:r>
    </w:p>
    <w:p w:rsidR="00B84514" w:rsidRPr="00061EBD" w:rsidRDefault="00B84514" w:rsidP="00222646">
      <w:pPr>
        <w:pStyle w:val="ListParagraph"/>
        <w:numPr>
          <w:ilvl w:val="0"/>
          <w:numId w:val="37"/>
        </w:numPr>
        <w:autoSpaceDE w:val="0"/>
        <w:autoSpaceDN w:val="0"/>
        <w:adjustRightInd w:val="0"/>
        <w:spacing w:after="240"/>
        <w:jc w:val="both"/>
        <w:rPr>
          <w:rFonts w:ascii="Times New Roman Bold" w:hAnsi="Times New Roman Bold" w:hint="eastAsia"/>
          <w:b/>
          <w:bCs/>
          <w:caps/>
          <w:sz w:val="20"/>
          <w:szCs w:val="20"/>
          <w:u w:val="single"/>
        </w:rPr>
      </w:pPr>
      <w:r w:rsidRPr="00061EBD">
        <w:rPr>
          <w:rFonts w:ascii="Times New Roman Bold" w:hAnsi="Times New Roman Bold" w:hint="eastAsia"/>
          <w:b/>
          <w:bCs/>
          <w:caps/>
          <w:sz w:val="20"/>
          <w:szCs w:val="20"/>
          <w:u w:val="single"/>
        </w:rPr>
        <w:t>Authority to Pre-Approve</w:t>
      </w:r>
    </w:p>
    <w:p w:rsidR="00B84514" w:rsidRPr="00061EBD" w:rsidRDefault="00B84514" w:rsidP="00B84514">
      <w:pPr>
        <w:autoSpaceDE w:val="0"/>
        <w:autoSpaceDN w:val="0"/>
        <w:adjustRightInd w:val="0"/>
        <w:spacing w:after="240"/>
        <w:ind w:firstLine="720"/>
        <w:jc w:val="both"/>
        <w:rPr>
          <w:bCs/>
          <w:sz w:val="20"/>
          <w:szCs w:val="20"/>
        </w:rPr>
      </w:pPr>
      <w:r w:rsidRPr="00061EBD">
        <w:rPr>
          <w:bCs/>
          <w:sz w:val="20"/>
          <w:szCs w:val="20"/>
        </w:rPr>
        <w:t>The Committee</w:t>
      </w:r>
      <w:r w:rsidR="00FB45FF" w:rsidRPr="00061EBD">
        <w:rPr>
          <w:bCs/>
          <w:sz w:val="20"/>
          <w:szCs w:val="20"/>
        </w:rPr>
        <w:t xml:space="preserve"> shall have the authority to (a</w:t>
      </w:r>
      <w:r w:rsidRPr="00061EBD">
        <w:rPr>
          <w:bCs/>
          <w:sz w:val="20"/>
          <w:szCs w:val="20"/>
        </w:rPr>
        <w:t xml:space="preserve">) determine certain transactions or categories of transactions with Related </w:t>
      </w:r>
      <w:r w:rsidR="005B13FC" w:rsidRPr="00061EBD">
        <w:rPr>
          <w:bCs/>
          <w:sz w:val="20"/>
          <w:szCs w:val="20"/>
        </w:rPr>
        <w:t>Parties</w:t>
      </w:r>
      <w:r w:rsidRPr="00061EBD">
        <w:rPr>
          <w:bCs/>
          <w:sz w:val="20"/>
          <w:szCs w:val="20"/>
        </w:rPr>
        <w:t xml:space="preserve"> that are not considered </w:t>
      </w:r>
      <w:r w:rsidR="005B13FC" w:rsidRPr="00061EBD">
        <w:rPr>
          <w:bCs/>
          <w:sz w:val="20"/>
          <w:szCs w:val="20"/>
        </w:rPr>
        <w:t>Related Party Transactions</w:t>
      </w:r>
      <w:r w:rsidRPr="00061EBD">
        <w:rPr>
          <w:bCs/>
          <w:sz w:val="20"/>
          <w:szCs w:val="20"/>
        </w:rPr>
        <w:t xml:space="preserve"> for the purposes of this Policy given their nature, size and/or degree of significance to the Company and/or the immateriality of such transaction to the relevant Related P</w:t>
      </w:r>
      <w:r w:rsidR="005B13FC" w:rsidRPr="00061EBD">
        <w:rPr>
          <w:bCs/>
          <w:sz w:val="20"/>
          <w:szCs w:val="20"/>
        </w:rPr>
        <w:t>arty</w:t>
      </w:r>
      <w:r w:rsidRPr="00061EBD">
        <w:rPr>
          <w:bCs/>
          <w:sz w:val="20"/>
          <w:szCs w:val="20"/>
        </w:rPr>
        <w:t>, and not required to be individually reported to, reviewed by, and/or approved or ratified by the Committee, and (</w:t>
      </w:r>
      <w:r w:rsidR="00FB45FF" w:rsidRPr="00061EBD">
        <w:rPr>
          <w:bCs/>
          <w:sz w:val="20"/>
          <w:szCs w:val="20"/>
        </w:rPr>
        <w:t>b</w:t>
      </w:r>
      <w:r w:rsidRPr="00061EBD">
        <w:rPr>
          <w:bCs/>
          <w:sz w:val="20"/>
          <w:szCs w:val="20"/>
        </w:rPr>
        <w:t>) approve in advance certain transactions or categories of transactions with Related P</w:t>
      </w:r>
      <w:r w:rsidR="005B13FC" w:rsidRPr="00061EBD">
        <w:rPr>
          <w:bCs/>
          <w:sz w:val="20"/>
          <w:szCs w:val="20"/>
        </w:rPr>
        <w:t>arties</w:t>
      </w:r>
      <w:r w:rsidRPr="00061EBD">
        <w:rPr>
          <w:bCs/>
          <w:sz w:val="20"/>
          <w:szCs w:val="20"/>
        </w:rPr>
        <w:t xml:space="preserve"> that (unless the Committee determines otherwise in a particular instance) need not be individually reported to, reviewed by, and/or approved or ratified by the Committee but that will instead be reported to and reviewed by the Committee collectively on a periodic basis, which shall be at least annually, and shall not require ratification by the Committee</w:t>
      </w:r>
      <w:r w:rsidR="005B13FC" w:rsidRPr="00061EBD">
        <w:rPr>
          <w:bCs/>
          <w:sz w:val="20"/>
          <w:szCs w:val="20"/>
        </w:rPr>
        <w:t>.</w:t>
      </w:r>
    </w:p>
    <w:p w:rsidR="00207BFD" w:rsidRPr="00061EBD" w:rsidRDefault="00207BFD" w:rsidP="00222646">
      <w:pPr>
        <w:numPr>
          <w:ilvl w:val="0"/>
          <w:numId w:val="37"/>
        </w:numPr>
        <w:autoSpaceDE w:val="0"/>
        <w:autoSpaceDN w:val="0"/>
        <w:adjustRightInd w:val="0"/>
        <w:spacing w:after="240"/>
        <w:ind w:hanging="450"/>
        <w:jc w:val="both"/>
        <w:rPr>
          <w:rFonts w:ascii="Times New Roman Bold" w:hAnsi="Times New Roman Bold" w:hint="eastAsia"/>
          <w:b/>
          <w:bCs/>
          <w:caps/>
          <w:sz w:val="20"/>
          <w:szCs w:val="20"/>
          <w:u w:val="single"/>
        </w:rPr>
      </w:pPr>
      <w:r w:rsidRPr="00061EBD">
        <w:rPr>
          <w:rFonts w:ascii="Times New Roman Bold" w:hAnsi="Times New Roman Bold" w:hint="eastAsia"/>
          <w:b/>
          <w:bCs/>
          <w:caps/>
          <w:sz w:val="20"/>
          <w:szCs w:val="20"/>
          <w:u w:val="single"/>
        </w:rPr>
        <w:t>Approvals to be Reported to the Board</w:t>
      </w:r>
    </w:p>
    <w:p w:rsidR="00207BFD" w:rsidRPr="00061EBD" w:rsidRDefault="00207BFD" w:rsidP="00207BFD">
      <w:pPr>
        <w:autoSpaceDE w:val="0"/>
        <w:autoSpaceDN w:val="0"/>
        <w:adjustRightInd w:val="0"/>
        <w:spacing w:after="240"/>
        <w:ind w:firstLine="720"/>
        <w:jc w:val="both"/>
        <w:rPr>
          <w:b/>
          <w:bCs/>
          <w:sz w:val="20"/>
          <w:szCs w:val="20"/>
          <w:u w:val="single"/>
        </w:rPr>
      </w:pPr>
      <w:r w:rsidRPr="00061EBD">
        <w:rPr>
          <w:bCs/>
          <w:sz w:val="20"/>
          <w:szCs w:val="20"/>
        </w:rPr>
        <w:t>The Committee shall notify the Board on a quarterly basis of all Related Party Transactions approved or ratified by the Committee.</w:t>
      </w:r>
    </w:p>
    <w:p w:rsidR="00BA1B04" w:rsidRPr="00061EBD" w:rsidRDefault="00BA1B04" w:rsidP="00222646">
      <w:pPr>
        <w:numPr>
          <w:ilvl w:val="0"/>
          <w:numId w:val="37"/>
        </w:numPr>
        <w:autoSpaceDE w:val="0"/>
        <w:autoSpaceDN w:val="0"/>
        <w:adjustRightInd w:val="0"/>
        <w:spacing w:after="240"/>
        <w:jc w:val="both"/>
        <w:rPr>
          <w:rFonts w:ascii="Times New Roman Bold" w:hAnsi="Times New Roman Bold" w:hint="eastAsia"/>
          <w:b/>
          <w:bCs/>
          <w:caps/>
          <w:sz w:val="20"/>
          <w:szCs w:val="20"/>
          <w:u w:val="single"/>
        </w:rPr>
      </w:pPr>
      <w:r w:rsidRPr="00061EBD">
        <w:rPr>
          <w:rFonts w:ascii="Times New Roman Bold" w:hAnsi="Times New Roman Bold" w:hint="eastAsia"/>
          <w:b/>
          <w:bCs/>
          <w:caps/>
          <w:sz w:val="20"/>
          <w:szCs w:val="20"/>
          <w:u w:val="single"/>
        </w:rPr>
        <w:t xml:space="preserve">Review, </w:t>
      </w:r>
      <w:r w:rsidR="00446E83" w:rsidRPr="00061EBD">
        <w:rPr>
          <w:rFonts w:ascii="Times New Roman Bold" w:hAnsi="Times New Roman Bold" w:hint="eastAsia"/>
          <w:b/>
          <w:bCs/>
          <w:caps/>
          <w:sz w:val="20"/>
          <w:szCs w:val="20"/>
          <w:u w:val="single"/>
        </w:rPr>
        <w:t xml:space="preserve">Assessment and </w:t>
      </w:r>
      <w:r w:rsidRPr="00061EBD">
        <w:rPr>
          <w:rFonts w:ascii="Times New Roman Bold" w:hAnsi="Times New Roman Bold" w:hint="eastAsia"/>
          <w:b/>
          <w:bCs/>
          <w:caps/>
          <w:sz w:val="20"/>
          <w:szCs w:val="20"/>
          <w:u w:val="single"/>
        </w:rPr>
        <w:t>Affirmation</w:t>
      </w:r>
    </w:p>
    <w:p w:rsidR="00BA1B04" w:rsidRPr="00061EBD" w:rsidRDefault="00BA1B04" w:rsidP="00DF2FE9">
      <w:pPr>
        <w:pStyle w:val="btf1"/>
        <w:rPr>
          <w:sz w:val="20"/>
          <w:szCs w:val="20"/>
          <w:lang w:eastAsia="en-US"/>
        </w:rPr>
      </w:pPr>
      <w:r w:rsidRPr="00061EBD">
        <w:rPr>
          <w:sz w:val="20"/>
          <w:szCs w:val="20"/>
          <w:lang w:eastAsia="en-US"/>
        </w:rPr>
        <w:t xml:space="preserve">The </w:t>
      </w:r>
      <w:r w:rsidR="00CA7B3D" w:rsidRPr="00061EBD">
        <w:rPr>
          <w:sz w:val="20"/>
          <w:szCs w:val="20"/>
          <w:lang w:eastAsia="en-US"/>
        </w:rPr>
        <w:t>Committee</w:t>
      </w:r>
      <w:r w:rsidRPr="00061EBD">
        <w:rPr>
          <w:sz w:val="20"/>
          <w:szCs w:val="20"/>
          <w:lang w:eastAsia="en-US"/>
        </w:rPr>
        <w:t xml:space="preserve"> shall review </w:t>
      </w:r>
      <w:r w:rsidR="004E7C24" w:rsidRPr="00061EBD">
        <w:rPr>
          <w:sz w:val="20"/>
          <w:szCs w:val="20"/>
          <w:lang w:eastAsia="en-US"/>
        </w:rPr>
        <w:t>and assess the adequacy of this</w:t>
      </w:r>
      <w:r w:rsidRPr="00061EBD">
        <w:rPr>
          <w:sz w:val="20"/>
          <w:szCs w:val="20"/>
          <w:lang w:eastAsia="en-US"/>
        </w:rPr>
        <w:t xml:space="preserve"> Polic</w:t>
      </w:r>
      <w:r w:rsidR="004E7C24" w:rsidRPr="00061EBD">
        <w:rPr>
          <w:sz w:val="20"/>
          <w:szCs w:val="20"/>
          <w:lang w:eastAsia="en-US"/>
        </w:rPr>
        <w:t>y</w:t>
      </w:r>
      <w:r w:rsidRPr="00061EBD">
        <w:rPr>
          <w:sz w:val="20"/>
          <w:szCs w:val="20"/>
          <w:lang w:eastAsia="en-US"/>
        </w:rPr>
        <w:t xml:space="preserve"> and adopt any changes </w:t>
      </w:r>
      <w:r w:rsidR="00126B8A" w:rsidRPr="00061EBD">
        <w:rPr>
          <w:sz w:val="20"/>
          <w:szCs w:val="20"/>
          <w:lang w:eastAsia="en-US"/>
        </w:rPr>
        <w:t xml:space="preserve">as </w:t>
      </w:r>
      <w:r w:rsidRPr="00061EBD">
        <w:rPr>
          <w:sz w:val="20"/>
          <w:szCs w:val="20"/>
          <w:lang w:eastAsia="en-US"/>
        </w:rPr>
        <w:t xml:space="preserve">it deems </w:t>
      </w:r>
      <w:r w:rsidR="00126B8A" w:rsidRPr="00061EBD">
        <w:rPr>
          <w:sz w:val="20"/>
          <w:szCs w:val="20"/>
          <w:lang w:eastAsia="en-US"/>
        </w:rPr>
        <w:t>appropriate</w:t>
      </w:r>
      <w:r w:rsidRPr="00061EBD">
        <w:rPr>
          <w:sz w:val="20"/>
          <w:szCs w:val="20"/>
          <w:lang w:eastAsia="en-US"/>
        </w:rPr>
        <w:t xml:space="preserve">. </w:t>
      </w:r>
      <w:r w:rsidR="00126B8A" w:rsidRPr="00061EBD">
        <w:rPr>
          <w:sz w:val="20"/>
          <w:szCs w:val="20"/>
          <w:lang w:eastAsia="en-US"/>
        </w:rPr>
        <w:t>E</w:t>
      </w:r>
      <w:r w:rsidRPr="00061EBD">
        <w:rPr>
          <w:sz w:val="20"/>
          <w:szCs w:val="20"/>
          <w:lang w:eastAsia="en-US"/>
        </w:rPr>
        <w:t xml:space="preserve">ach executive officer and director of the Company shall acknowledge </w:t>
      </w:r>
      <w:r w:rsidR="00126B8A" w:rsidRPr="00061EBD">
        <w:rPr>
          <w:sz w:val="20"/>
          <w:szCs w:val="20"/>
          <w:lang w:eastAsia="en-US"/>
        </w:rPr>
        <w:t xml:space="preserve">his or her </w:t>
      </w:r>
      <w:r w:rsidRPr="00061EBD">
        <w:rPr>
          <w:sz w:val="20"/>
          <w:szCs w:val="20"/>
          <w:lang w:eastAsia="en-US"/>
        </w:rPr>
        <w:t>famil</w:t>
      </w:r>
      <w:r w:rsidR="00A57418" w:rsidRPr="00061EBD">
        <w:rPr>
          <w:sz w:val="20"/>
          <w:szCs w:val="20"/>
          <w:lang w:eastAsia="en-US"/>
        </w:rPr>
        <w:t>iarity and compliance with this</w:t>
      </w:r>
      <w:r w:rsidRPr="00061EBD">
        <w:rPr>
          <w:sz w:val="20"/>
          <w:szCs w:val="20"/>
          <w:lang w:eastAsia="en-US"/>
        </w:rPr>
        <w:t xml:space="preserve"> Polic</w:t>
      </w:r>
      <w:r w:rsidR="00A57418" w:rsidRPr="00061EBD">
        <w:rPr>
          <w:sz w:val="20"/>
          <w:szCs w:val="20"/>
          <w:lang w:eastAsia="en-US"/>
        </w:rPr>
        <w:t>y</w:t>
      </w:r>
      <w:r w:rsidRPr="00061EBD">
        <w:rPr>
          <w:sz w:val="20"/>
          <w:szCs w:val="20"/>
          <w:lang w:eastAsia="en-US"/>
        </w:rPr>
        <w:t>.</w:t>
      </w:r>
    </w:p>
    <w:p w:rsidR="00BA1B04" w:rsidRPr="00061EBD" w:rsidRDefault="00BA1B04">
      <w:pPr>
        <w:autoSpaceDE w:val="0"/>
        <w:autoSpaceDN w:val="0"/>
        <w:adjustRightInd w:val="0"/>
        <w:spacing w:after="240"/>
        <w:rPr>
          <w:sz w:val="20"/>
          <w:szCs w:val="20"/>
        </w:rPr>
      </w:pPr>
    </w:p>
    <w:sectPr w:rsidR="00BA1B04" w:rsidRPr="00061EBD">
      <w:footerReference w:type="even" r:id="rId9"/>
      <w:footerReference w:type="default" r:id="rId10"/>
      <w:headerReference w:type="first" r:id="rId11"/>
      <w:footerReference w:type="first" r:id="rId12"/>
      <w:type w:val="continuous"/>
      <w:pgSz w:w="12242" w:h="15842" w:code="1"/>
      <w:pgMar w:top="1440" w:right="1440" w:bottom="1440" w:left="1440" w:header="720" w:footer="720" w:gutter="0"/>
      <w:cols w:space="720"/>
      <w:noEndnote/>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97" w:rsidRDefault="00346297">
      <w:r>
        <w:separator/>
      </w:r>
    </w:p>
  </w:endnote>
  <w:endnote w:type="continuationSeparator" w:id="0">
    <w:p w:rsidR="00346297" w:rsidRDefault="0034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E9" w:rsidRPr="00FB45FF" w:rsidRDefault="00DF2FE9">
    <w:pPr>
      <w:pStyle w:val="Footer"/>
      <w:jc w:val="center"/>
      <w:rPr>
        <w:noProof/>
      </w:rPr>
    </w:pPr>
    <w:r w:rsidRPr="00FB45FF">
      <w:fldChar w:fldCharType="begin"/>
    </w:r>
    <w:r w:rsidRPr="00FB45FF">
      <w:instrText xml:space="preserve"> PAGE   \* MERGEFORMAT </w:instrText>
    </w:r>
    <w:r w:rsidRPr="00FB45FF">
      <w:fldChar w:fldCharType="separate"/>
    </w:r>
    <w:r w:rsidR="00FF6B04">
      <w:rPr>
        <w:noProof/>
      </w:rPr>
      <w:t>2</w:t>
    </w:r>
    <w:r w:rsidRPr="00FB45F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04" w:rsidRDefault="00DF2FE9" w:rsidP="00DF2FE9">
    <w:pPr>
      <w:pStyle w:val="Footer"/>
      <w:jc w:val="center"/>
      <w:rPr>
        <w:noProof/>
      </w:rPr>
    </w:pPr>
    <w:r>
      <w:fldChar w:fldCharType="begin"/>
    </w:r>
    <w:r>
      <w:instrText xml:space="preserve"> PAGE   \* MERGEFORMAT </w:instrText>
    </w:r>
    <w:r>
      <w:fldChar w:fldCharType="separate"/>
    </w:r>
    <w:r w:rsidR="00FF6B04">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81271"/>
      <w:docPartObj>
        <w:docPartGallery w:val="Page Numbers (Bottom of Page)"/>
        <w:docPartUnique/>
      </w:docPartObj>
    </w:sdtPr>
    <w:sdtEndPr>
      <w:rPr>
        <w:noProof/>
      </w:rPr>
    </w:sdtEndPr>
    <w:sdtContent>
      <w:p w:rsidR="00C02CD3" w:rsidRDefault="00C02CD3">
        <w:pPr>
          <w:pStyle w:val="Footer"/>
          <w:jc w:val="center"/>
        </w:pPr>
        <w:r>
          <w:fldChar w:fldCharType="begin"/>
        </w:r>
        <w:r>
          <w:instrText xml:space="preserve"> PAGE   \* MERGEFORMAT </w:instrText>
        </w:r>
        <w:r>
          <w:fldChar w:fldCharType="separate"/>
        </w:r>
        <w:r w:rsidR="00FF6B04">
          <w:rPr>
            <w:noProof/>
          </w:rPr>
          <w:t>1</w:t>
        </w:r>
        <w:r>
          <w:rPr>
            <w:noProof/>
          </w:rPr>
          <w:fldChar w:fldCharType="end"/>
        </w:r>
      </w:p>
    </w:sdtContent>
  </w:sdt>
  <w:p w:rsidR="00C02CD3" w:rsidRDefault="00C02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97" w:rsidRDefault="00346297">
      <w:r>
        <w:separator/>
      </w:r>
    </w:p>
  </w:footnote>
  <w:footnote w:type="continuationSeparator" w:id="0">
    <w:p w:rsidR="00346297" w:rsidRDefault="00346297">
      <w:r>
        <w:separator/>
      </w:r>
    </w:p>
  </w:footnote>
  <w:footnote w:type="continuationNotice" w:id="1">
    <w:p w:rsidR="00346297" w:rsidRDefault="00346297">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F1" w:rsidRPr="00E773F1" w:rsidRDefault="00E773F1" w:rsidP="00E773F1">
    <w:pPr>
      <w:pStyle w:val="Header"/>
      <w:jc w:val="right"/>
      <w:rPr>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D0048A"/>
    <w:name w:val="List Number 5"/>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6922D3D4"/>
    <w:name w:val="List Number 4"/>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134A4AA0"/>
    <w:name w:val="List Number 3"/>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11F42842"/>
    <w:name w:val="List Number 2"/>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C630D548"/>
    <w:name w:val="List Bullet 5"/>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62CE16D0"/>
    <w:name w:val="List Bullet 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CFE2C526"/>
    <w:name w:val="List Bullet 3"/>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8DDE1318"/>
    <w:name w:val="List Bullet 2"/>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3B92A3EA"/>
    <w:name w:val="List Number"/>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59C073D0"/>
    <w:name w:val="List Bullet"/>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5E41C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8A5F1F"/>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2043F0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34847C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1041EAE"/>
    <w:multiLevelType w:val="hybridMultilevel"/>
    <w:tmpl w:val="7E7E4EA2"/>
    <w:lvl w:ilvl="0" w:tplc="453A3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6943B0"/>
    <w:multiLevelType w:val="hybridMultilevel"/>
    <w:tmpl w:val="64B297FC"/>
    <w:lvl w:ilvl="0" w:tplc="2E6C6C7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653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F47C5C"/>
    <w:multiLevelType w:val="hybridMultilevel"/>
    <w:tmpl w:val="F612ADE2"/>
    <w:lvl w:ilvl="0" w:tplc="04090013">
      <w:start w:val="1"/>
      <w:numFmt w:val="upperRoman"/>
      <w:lvlText w:val="%1."/>
      <w:lvlJc w:val="right"/>
      <w:pPr>
        <w:ind w:left="720" w:hanging="360"/>
      </w:pPr>
      <w:rPr>
        <w:rFonts w:hint="default"/>
      </w:rPr>
    </w:lvl>
    <w:lvl w:ilvl="1" w:tplc="C0FC1170">
      <w:start w:val="1"/>
      <w:numFmt w:val="lowerLetter"/>
      <w:lvlText w:val="%2."/>
      <w:lvlJc w:val="left"/>
      <w:pPr>
        <w:ind w:left="1440" w:hanging="360"/>
      </w:pPr>
      <w:rPr>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B61F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3260AE"/>
    <w:multiLevelType w:val="hybridMultilevel"/>
    <w:tmpl w:val="F5E299EC"/>
    <w:lvl w:ilvl="0" w:tplc="6B144758">
      <w:start w:val="1"/>
      <w:numFmt w:val="lowerRoman"/>
      <w:lvlText w:val="(%1)"/>
      <w:lvlJc w:val="left"/>
      <w:pPr>
        <w:ind w:left="1440" w:hanging="360"/>
      </w:pPr>
      <w:rPr>
        <w:rFonts w:ascii="Times New Roman" w:eastAsia="MS Mincho"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BC3415"/>
    <w:multiLevelType w:val="hybridMultilevel"/>
    <w:tmpl w:val="6B62E678"/>
    <w:lvl w:ilvl="0" w:tplc="B1A8F62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2"/>
  </w:num>
  <w:num w:numId="22">
    <w:abstractNumId w:val="10"/>
  </w:num>
  <w:num w:numId="23">
    <w:abstractNumId w:val="16"/>
  </w:num>
  <w:num w:numId="24">
    <w:abstractNumId w:val="18"/>
  </w:num>
  <w:num w:numId="25">
    <w:abstractNumId w:val="11"/>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20"/>
  </w:num>
  <w:num w:numId="39">
    <w:abstractNumId w:val="14"/>
  </w:num>
  <w:num w:numId="40">
    <w:abstractNumId w:val="1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552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3D"/>
    <w:rsid w:val="00003429"/>
    <w:rsid w:val="00024BC6"/>
    <w:rsid w:val="00061EBD"/>
    <w:rsid w:val="00070A9D"/>
    <w:rsid w:val="00086B12"/>
    <w:rsid w:val="000A27A1"/>
    <w:rsid w:val="000B182A"/>
    <w:rsid w:val="000D2A4D"/>
    <w:rsid w:val="001265E1"/>
    <w:rsid w:val="00126B8A"/>
    <w:rsid w:val="0016368C"/>
    <w:rsid w:val="00173C0B"/>
    <w:rsid w:val="00191B30"/>
    <w:rsid w:val="001A3766"/>
    <w:rsid w:val="001B5A3D"/>
    <w:rsid w:val="001B7B75"/>
    <w:rsid w:val="001E6D71"/>
    <w:rsid w:val="001F1593"/>
    <w:rsid w:val="001F2BF3"/>
    <w:rsid w:val="0020121D"/>
    <w:rsid w:val="00207BFD"/>
    <w:rsid w:val="0021303D"/>
    <w:rsid w:val="00221DE4"/>
    <w:rsid w:val="00222646"/>
    <w:rsid w:val="00223C49"/>
    <w:rsid w:val="00252EA9"/>
    <w:rsid w:val="002554BB"/>
    <w:rsid w:val="00280F20"/>
    <w:rsid w:val="0028323C"/>
    <w:rsid w:val="00286E0C"/>
    <w:rsid w:val="002A2BA3"/>
    <w:rsid w:val="002A3071"/>
    <w:rsid w:val="002A67AE"/>
    <w:rsid w:val="002B1CF6"/>
    <w:rsid w:val="002B66B4"/>
    <w:rsid w:val="002F4329"/>
    <w:rsid w:val="002F780D"/>
    <w:rsid w:val="00310769"/>
    <w:rsid w:val="00344711"/>
    <w:rsid w:val="00346297"/>
    <w:rsid w:val="00394EEE"/>
    <w:rsid w:val="00423B41"/>
    <w:rsid w:val="0042787C"/>
    <w:rsid w:val="00446E83"/>
    <w:rsid w:val="00451048"/>
    <w:rsid w:val="00465C03"/>
    <w:rsid w:val="00466329"/>
    <w:rsid w:val="0047604A"/>
    <w:rsid w:val="0047712D"/>
    <w:rsid w:val="00494277"/>
    <w:rsid w:val="004C1A16"/>
    <w:rsid w:val="004C5C3B"/>
    <w:rsid w:val="004E7C24"/>
    <w:rsid w:val="004F3450"/>
    <w:rsid w:val="004F4CF8"/>
    <w:rsid w:val="00506352"/>
    <w:rsid w:val="00514A87"/>
    <w:rsid w:val="00564988"/>
    <w:rsid w:val="00565655"/>
    <w:rsid w:val="00566EA8"/>
    <w:rsid w:val="005761C1"/>
    <w:rsid w:val="005773C2"/>
    <w:rsid w:val="00595D7C"/>
    <w:rsid w:val="00596A52"/>
    <w:rsid w:val="005B1231"/>
    <w:rsid w:val="005B13FC"/>
    <w:rsid w:val="005B6AAA"/>
    <w:rsid w:val="005B768C"/>
    <w:rsid w:val="005D3857"/>
    <w:rsid w:val="005F617D"/>
    <w:rsid w:val="00621B99"/>
    <w:rsid w:val="006467E3"/>
    <w:rsid w:val="006946DA"/>
    <w:rsid w:val="006977F2"/>
    <w:rsid w:val="006B0653"/>
    <w:rsid w:val="006B2ED8"/>
    <w:rsid w:val="006B5017"/>
    <w:rsid w:val="006F5534"/>
    <w:rsid w:val="0071754E"/>
    <w:rsid w:val="00720F2E"/>
    <w:rsid w:val="00723F3F"/>
    <w:rsid w:val="0073017F"/>
    <w:rsid w:val="007359E8"/>
    <w:rsid w:val="007464E4"/>
    <w:rsid w:val="0075463D"/>
    <w:rsid w:val="00772ECA"/>
    <w:rsid w:val="0077706E"/>
    <w:rsid w:val="00780EB7"/>
    <w:rsid w:val="007827A3"/>
    <w:rsid w:val="00787AB2"/>
    <w:rsid w:val="00792800"/>
    <w:rsid w:val="007C0699"/>
    <w:rsid w:val="007C7614"/>
    <w:rsid w:val="007E34F4"/>
    <w:rsid w:val="0080189F"/>
    <w:rsid w:val="00846CEC"/>
    <w:rsid w:val="008473D0"/>
    <w:rsid w:val="00854249"/>
    <w:rsid w:val="008615DF"/>
    <w:rsid w:val="00865EA5"/>
    <w:rsid w:val="008A30E9"/>
    <w:rsid w:val="008A55E3"/>
    <w:rsid w:val="008F23A0"/>
    <w:rsid w:val="00916AE4"/>
    <w:rsid w:val="00917AB7"/>
    <w:rsid w:val="0092223D"/>
    <w:rsid w:val="0093243E"/>
    <w:rsid w:val="00934C3F"/>
    <w:rsid w:val="009414C4"/>
    <w:rsid w:val="009667B7"/>
    <w:rsid w:val="00993D4F"/>
    <w:rsid w:val="009B72CB"/>
    <w:rsid w:val="009C098A"/>
    <w:rsid w:val="009D09B4"/>
    <w:rsid w:val="00A105C0"/>
    <w:rsid w:val="00A113F6"/>
    <w:rsid w:val="00A17E00"/>
    <w:rsid w:val="00A21718"/>
    <w:rsid w:val="00A24F38"/>
    <w:rsid w:val="00A27E93"/>
    <w:rsid w:val="00A408C5"/>
    <w:rsid w:val="00A423D2"/>
    <w:rsid w:val="00A4664C"/>
    <w:rsid w:val="00A55514"/>
    <w:rsid w:val="00A57418"/>
    <w:rsid w:val="00A713AE"/>
    <w:rsid w:val="00A82A37"/>
    <w:rsid w:val="00A96656"/>
    <w:rsid w:val="00AA0B98"/>
    <w:rsid w:val="00AA1AF2"/>
    <w:rsid w:val="00AD7A29"/>
    <w:rsid w:val="00AE3751"/>
    <w:rsid w:val="00AE7B1E"/>
    <w:rsid w:val="00B06F36"/>
    <w:rsid w:val="00B35FEB"/>
    <w:rsid w:val="00B36C44"/>
    <w:rsid w:val="00B52D45"/>
    <w:rsid w:val="00B61210"/>
    <w:rsid w:val="00B66AD6"/>
    <w:rsid w:val="00B7771F"/>
    <w:rsid w:val="00B81260"/>
    <w:rsid w:val="00B81EC5"/>
    <w:rsid w:val="00B84514"/>
    <w:rsid w:val="00B92A6B"/>
    <w:rsid w:val="00B95BAE"/>
    <w:rsid w:val="00B95EA0"/>
    <w:rsid w:val="00BA1B04"/>
    <w:rsid w:val="00BA5AE6"/>
    <w:rsid w:val="00BB7654"/>
    <w:rsid w:val="00BC4069"/>
    <w:rsid w:val="00BD4B88"/>
    <w:rsid w:val="00BD71D3"/>
    <w:rsid w:val="00BE0895"/>
    <w:rsid w:val="00BF1840"/>
    <w:rsid w:val="00C01E99"/>
    <w:rsid w:val="00C02CD3"/>
    <w:rsid w:val="00C31A6D"/>
    <w:rsid w:val="00C345A2"/>
    <w:rsid w:val="00C361D7"/>
    <w:rsid w:val="00C45589"/>
    <w:rsid w:val="00C63033"/>
    <w:rsid w:val="00C661E3"/>
    <w:rsid w:val="00C7487E"/>
    <w:rsid w:val="00C80BC7"/>
    <w:rsid w:val="00C84066"/>
    <w:rsid w:val="00C94C06"/>
    <w:rsid w:val="00CA0357"/>
    <w:rsid w:val="00CA0793"/>
    <w:rsid w:val="00CA7B3D"/>
    <w:rsid w:val="00CB6F11"/>
    <w:rsid w:val="00CD1CA1"/>
    <w:rsid w:val="00CF70BC"/>
    <w:rsid w:val="00D1629E"/>
    <w:rsid w:val="00D23A4B"/>
    <w:rsid w:val="00D2587A"/>
    <w:rsid w:val="00D36E72"/>
    <w:rsid w:val="00D64FF0"/>
    <w:rsid w:val="00D7001B"/>
    <w:rsid w:val="00D7243A"/>
    <w:rsid w:val="00D74381"/>
    <w:rsid w:val="00D7764E"/>
    <w:rsid w:val="00D831C1"/>
    <w:rsid w:val="00D86011"/>
    <w:rsid w:val="00D864E7"/>
    <w:rsid w:val="00DA52E9"/>
    <w:rsid w:val="00DA603C"/>
    <w:rsid w:val="00DB1F5E"/>
    <w:rsid w:val="00DB74AC"/>
    <w:rsid w:val="00DB774D"/>
    <w:rsid w:val="00DE65E0"/>
    <w:rsid w:val="00DF2FE9"/>
    <w:rsid w:val="00E15915"/>
    <w:rsid w:val="00E27038"/>
    <w:rsid w:val="00E54AD9"/>
    <w:rsid w:val="00E714D5"/>
    <w:rsid w:val="00E7605F"/>
    <w:rsid w:val="00E773F1"/>
    <w:rsid w:val="00E8796A"/>
    <w:rsid w:val="00EB3880"/>
    <w:rsid w:val="00EB5504"/>
    <w:rsid w:val="00EB729A"/>
    <w:rsid w:val="00ED3840"/>
    <w:rsid w:val="00F1219F"/>
    <w:rsid w:val="00F2373A"/>
    <w:rsid w:val="00F23E10"/>
    <w:rsid w:val="00F34585"/>
    <w:rsid w:val="00F374D1"/>
    <w:rsid w:val="00F53C94"/>
    <w:rsid w:val="00F62C60"/>
    <w:rsid w:val="00FA05A6"/>
    <w:rsid w:val="00FA0F5C"/>
    <w:rsid w:val="00FA69D1"/>
    <w:rsid w:val="00FB45FF"/>
    <w:rsid w:val="00FE16BA"/>
    <w:rsid w:val="00FF6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727E8561"/>
  <w15:chartTrackingRefBased/>
  <w15:docId w15:val="{B6E9BA34-B3DD-4C33-B2DC-1669EDC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BodyText"/>
    <w:qFormat/>
    <w:pPr>
      <w:keepNext/>
      <w:spacing w:after="240"/>
      <w:jc w:val="center"/>
      <w:outlineLvl w:val="0"/>
    </w:pPr>
    <w:rPr>
      <w:rFonts w:cs="Arial"/>
      <w:b/>
      <w:bCs/>
    </w:rPr>
  </w:style>
  <w:style w:type="paragraph" w:styleId="Heading2">
    <w:name w:val="heading 2"/>
    <w:basedOn w:val="Heading1"/>
    <w:next w:val="BodyText"/>
    <w:qFormat/>
    <w:pPr>
      <w:outlineLvl w:val="1"/>
    </w:pPr>
    <w:rPr>
      <w:bCs w:val="0"/>
      <w:iCs/>
      <w:u w:val="single"/>
    </w:rPr>
  </w:style>
  <w:style w:type="paragraph" w:styleId="Heading3">
    <w:name w:val="heading 3"/>
    <w:basedOn w:val="Heading2"/>
    <w:next w:val="BodyText"/>
    <w:qFormat/>
    <w:pPr>
      <w:jc w:val="left"/>
      <w:outlineLvl w:val="2"/>
    </w:pPr>
    <w:rPr>
      <w:bCs/>
      <w:u w:val="none"/>
    </w:rPr>
  </w:style>
  <w:style w:type="paragraph" w:styleId="Heading4">
    <w:name w:val="heading 4"/>
    <w:basedOn w:val="Heading3"/>
    <w:next w:val="BodyText"/>
    <w:qFormat/>
    <w:pPr>
      <w:outlineLvl w:val="3"/>
    </w:pPr>
    <w:rPr>
      <w:b w:val="0"/>
      <w:bCs w:val="0"/>
      <w:u w:val="single"/>
    </w:rPr>
  </w:style>
  <w:style w:type="paragraph" w:styleId="Heading5">
    <w:name w:val="heading 5"/>
    <w:basedOn w:val="Heading4"/>
    <w:next w:val="BodyText"/>
    <w:qFormat/>
    <w:pPr>
      <w:ind w:left="720"/>
      <w:outlineLvl w:val="4"/>
    </w:pPr>
    <w:rPr>
      <w:bCs/>
      <w:iCs w:val="0"/>
      <w:u w:val="none"/>
    </w:rPr>
  </w:style>
  <w:style w:type="paragraph" w:styleId="Heading6">
    <w:name w:val="heading 6"/>
    <w:basedOn w:val="Heading5"/>
    <w:next w:val="BodyText"/>
    <w:qFormat/>
    <w:pPr>
      <w:outlineLvl w:val="5"/>
    </w:pPr>
    <w:rPr>
      <w:bCs w:val="0"/>
      <w:u w:val="single"/>
    </w:rPr>
  </w:style>
  <w:style w:type="paragraph" w:styleId="Heading7">
    <w:name w:val="heading 7"/>
    <w:basedOn w:val="Heading6"/>
    <w:next w:val="BodyText"/>
    <w:qFormat/>
    <w:pPr>
      <w:ind w:left="0"/>
      <w:jc w:val="center"/>
      <w:outlineLvl w:val="6"/>
    </w:pPr>
    <w:rPr>
      <w:b/>
      <w:u w:val="none"/>
    </w:rPr>
  </w:style>
  <w:style w:type="paragraph" w:styleId="Heading8">
    <w:name w:val="heading 8"/>
    <w:basedOn w:val="Heading7"/>
    <w:next w:val="BodyText"/>
    <w:qFormat/>
    <w:pPr>
      <w:jc w:val="left"/>
      <w:outlineLvl w:val="7"/>
    </w:pPr>
    <w:rPr>
      <w:iCs/>
    </w:rPr>
  </w:style>
  <w:style w:type="paragraph" w:styleId="Heading9">
    <w:name w:val="heading 9"/>
    <w:basedOn w:val="Heading8"/>
    <w:next w:val="BodyText"/>
    <w:qFormat/>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K"/>
    <w:basedOn w:val="Normal"/>
    <w:next w:val="BodyText"/>
    <w:pPr>
      <w:spacing w:after="240"/>
      <w:ind w:left="1440" w:right="720"/>
    </w:pPr>
  </w:style>
  <w:style w:type="paragraph" w:styleId="BodyText">
    <w:name w:val="Body Text"/>
    <w:aliases w:val="BT"/>
    <w:basedOn w:val="Normal"/>
    <w:pPr>
      <w:spacing w:after="240"/>
      <w:ind w:firstLine="720"/>
    </w:pPr>
  </w:style>
  <w:style w:type="paragraph" w:customStyle="1" w:styleId="BodyTextIndent">
    <w:name w:val="Body Text + Indent"/>
    <w:aliases w:val="BTIN"/>
    <w:basedOn w:val="BodyText"/>
    <w:pPr>
      <w:ind w:left="720"/>
    </w:pPr>
  </w:style>
  <w:style w:type="paragraph" w:customStyle="1" w:styleId="BodyTextIndent2">
    <w:name w:val="Body Text + Indent 2"/>
    <w:aliases w:val="BTIN2"/>
    <w:basedOn w:val="BodyTextIndent"/>
    <w:pPr>
      <w:ind w:left="1440"/>
    </w:pPr>
  </w:style>
  <w:style w:type="paragraph" w:styleId="BodyText2">
    <w:name w:val="Body Text 2"/>
    <w:aliases w:val="BT2"/>
    <w:basedOn w:val="Normal"/>
    <w:pPr>
      <w:spacing w:after="240" w:line="480" w:lineRule="auto"/>
      <w:ind w:firstLine="720"/>
    </w:pPr>
  </w:style>
  <w:style w:type="paragraph" w:styleId="BodyText3">
    <w:name w:val="Body Text 3"/>
    <w:aliases w:val="BT3"/>
    <w:basedOn w:val="Normal"/>
  </w:style>
  <w:style w:type="paragraph" w:customStyle="1" w:styleId="BodyTextContinued">
    <w:name w:val="Body Text Continued"/>
    <w:aliases w:val="BTC"/>
    <w:basedOn w:val="Normal"/>
    <w:next w:val="BodyText"/>
    <w:pPr>
      <w:spacing w:after="240"/>
    </w:pPr>
  </w:style>
  <w:style w:type="paragraph" w:styleId="BodyTextFirstIndent">
    <w:name w:val="Body Text First Indent"/>
    <w:aliases w:val="BTF"/>
    <w:basedOn w:val="Normal"/>
    <w:pPr>
      <w:spacing w:after="240"/>
      <w:ind w:firstLine="1440"/>
    </w:pPr>
  </w:style>
  <w:style w:type="paragraph" w:styleId="BodyTextIndent0">
    <w:name w:val="Body Text Indent"/>
    <w:aliases w:val="BTI"/>
    <w:basedOn w:val="BodyTextNoIndent"/>
    <w:pPr>
      <w:ind w:left="720"/>
    </w:pPr>
  </w:style>
  <w:style w:type="paragraph" w:styleId="BodyTextFirstIndent2">
    <w:name w:val="Body Text First Indent 2"/>
    <w:aliases w:val="BTF2"/>
    <w:basedOn w:val="BodyTextFirstIndent"/>
    <w:pPr>
      <w:ind w:left="720"/>
    </w:pPr>
  </w:style>
  <w:style w:type="paragraph" w:customStyle="1" w:styleId="BodyTextFirstIndent3">
    <w:name w:val="Body Text First Indent 3"/>
    <w:aliases w:val="BTF3"/>
    <w:basedOn w:val="BodyTextFirstIndent2"/>
    <w:pPr>
      <w:ind w:left="1440"/>
    </w:pPr>
  </w:style>
  <w:style w:type="paragraph" w:customStyle="1" w:styleId="BodyTextNoIndent">
    <w:name w:val="Body Text No Indent"/>
    <w:aliases w:val="BTNI"/>
    <w:basedOn w:val="Normal"/>
    <w:pPr>
      <w:spacing w:after="240"/>
    </w:pPr>
  </w:style>
  <w:style w:type="paragraph" w:styleId="BodyTextIndent20">
    <w:name w:val="Body Text Indent 2"/>
    <w:aliases w:val="BTI2"/>
    <w:basedOn w:val="BodyTextIndent0"/>
    <w:pPr>
      <w:ind w:left="1440"/>
    </w:pPr>
  </w:style>
  <w:style w:type="paragraph" w:styleId="BodyTextIndent3">
    <w:name w:val="Body Text Indent 3"/>
    <w:aliases w:val="BTI3"/>
    <w:basedOn w:val="BodyTextIndent20"/>
    <w:pPr>
      <w:ind w:left="2160"/>
    </w:pPr>
  </w:style>
  <w:style w:type="paragraph" w:customStyle="1" w:styleId="BTHangIndent">
    <w:name w:val="BT Hang Indent"/>
    <w:aliases w:val="BTH"/>
    <w:basedOn w:val="Normal"/>
    <w:pPr>
      <w:spacing w:after="240"/>
      <w:ind w:left="1440" w:hanging="1440"/>
    </w:pPr>
  </w:style>
  <w:style w:type="paragraph" w:customStyle="1" w:styleId="BTHangIndent2">
    <w:name w:val="BT Hang Indent 2"/>
    <w:aliases w:val="BTH2"/>
    <w:basedOn w:val="BTHangIndent"/>
    <w:pPr>
      <w:ind w:left="2160"/>
    </w:pPr>
  </w:style>
  <w:style w:type="paragraph" w:customStyle="1" w:styleId="Centered">
    <w:name w:val="Centered"/>
    <w:aliases w:val="CT"/>
    <w:basedOn w:val="Normal"/>
    <w:pPr>
      <w:spacing w:after="240"/>
      <w:jc w:val="center"/>
    </w:pPr>
  </w:style>
  <w:style w:type="paragraph" w:styleId="ListBullet">
    <w:name w:val="List Bullet"/>
    <w:basedOn w:val="Normal"/>
    <w:pPr>
      <w:numPr>
        <w:numId w:val="1"/>
      </w:numPr>
      <w:tabs>
        <w:tab w:val="clear" w:pos="720"/>
      </w:tabs>
      <w:spacing w:after="240"/>
    </w:pPr>
  </w:style>
  <w:style w:type="paragraph" w:styleId="ListBullet2">
    <w:name w:val="List Bullet 2"/>
    <w:basedOn w:val="Normal"/>
    <w:pPr>
      <w:numPr>
        <w:numId w:val="3"/>
      </w:numPr>
      <w:tabs>
        <w:tab w:val="left" w:pos="1440"/>
      </w:tabs>
      <w:spacing w:after="240"/>
    </w:pPr>
  </w:style>
  <w:style w:type="paragraph" w:styleId="ListBullet3">
    <w:name w:val="List Bullet 3"/>
    <w:basedOn w:val="Normal"/>
    <w:pPr>
      <w:numPr>
        <w:numId w:val="5"/>
      </w:numPr>
      <w:tabs>
        <w:tab w:val="left" w:pos="2160"/>
      </w:tabs>
      <w:spacing w:after="240"/>
    </w:pPr>
  </w:style>
  <w:style w:type="paragraph" w:styleId="ListBullet4">
    <w:name w:val="List Bullet 4"/>
    <w:basedOn w:val="Normal"/>
    <w:pPr>
      <w:numPr>
        <w:numId w:val="7"/>
      </w:numPr>
      <w:tabs>
        <w:tab w:val="left" w:pos="2880"/>
      </w:tabs>
      <w:spacing w:after="240"/>
    </w:pPr>
  </w:style>
  <w:style w:type="paragraph" w:styleId="ListBullet5">
    <w:name w:val="List Bullet 5"/>
    <w:basedOn w:val="Normal"/>
    <w:pPr>
      <w:numPr>
        <w:numId w:val="9"/>
      </w:numPr>
      <w:tabs>
        <w:tab w:val="left" w:pos="3600"/>
      </w:tabs>
      <w:spacing w:after="240"/>
    </w:pPr>
  </w:style>
  <w:style w:type="paragraph" w:styleId="ListNumber">
    <w:name w:val="List Number"/>
    <w:basedOn w:val="Normal"/>
    <w:pPr>
      <w:numPr>
        <w:numId w:val="11"/>
      </w:numPr>
      <w:spacing w:after="240"/>
    </w:pPr>
  </w:style>
  <w:style w:type="paragraph" w:styleId="ListNumber2">
    <w:name w:val="List Number 2"/>
    <w:basedOn w:val="Normal"/>
    <w:pPr>
      <w:numPr>
        <w:numId w:val="13"/>
      </w:numPr>
      <w:spacing w:after="240"/>
    </w:pPr>
  </w:style>
  <w:style w:type="paragraph" w:styleId="ListNumber3">
    <w:name w:val="List Number 3"/>
    <w:basedOn w:val="Normal"/>
    <w:pPr>
      <w:numPr>
        <w:numId w:val="15"/>
      </w:numPr>
      <w:spacing w:after="240"/>
    </w:pPr>
  </w:style>
  <w:style w:type="paragraph" w:styleId="ListNumber4">
    <w:name w:val="List Number 4"/>
    <w:basedOn w:val="Normal"/>
    <w:pPr>
      <w:numPr>
        <w:numId w:val="17"/>
      </w:numPr>
      <w:spacing w:after="240"/>
    </w:pPr>
  </w:style>
  <w:style w:type="paragraph" w:styleId="ListNumber5">
    <w:name w:val="List Number 5"/>
    <w:basedOn w:val="Normal"/>
    <w:pPr>
      <w:numPr>
        <w:numId w:val="19"/>
      </w:numPr>
      <w:spacing w:after="240"/>
    </w:pPr>
  </w:style>
  <w:style w:type="paragraph" w:styleId="Title">
    <w:name w:val="Title"/>
    <w:aliases w:val="T1"/>
    <w:basedOn w:val="Normal"/>
    <w:next w:val="BodyText"/>
    <w:qFormat/>
    <w:pPr>
      <w:keepNext/>
      <w:spacing w:after="240"/>
      <w:jc w:val="center"/>
    </w:pPr>
    <w:rPr>
      <w:rFonts w:cs="Arial"/>
      <w:bCs/>
    </w:rPr>
  </w:style>
  <w:style w:type="paragraph" w:customStyle="1" w:styleId="TitleB">
    <w:name w:val="Title B"/>
    <w:aliases w:val="TB"/>
    <w:basedOn w:val="Title"/>
    <w:next w:val="BodyText"/>
    <w:rPr>
      <w:b/>
    </w:rPr>
  </w:style>
  <w:style w:type="paragraph" w:customStyle="1" w:styleId="TitleU">
    <w:name w:val="Title U"/>
    <w:aliases w:val="TU"/>
    <w:basedOn w:val="TitleB"/>
    <w:next w:val="BodyText"/>
    <w:rPr>
      <w:b w:val="0"/>
      <w:u w:val="single"/>
    </w:rPr>
  </w:style>
  <w:style w:type="paragraph" w:customStyle="1" w:styleId="TitleBU">
    <w:name w:val="Title BU"/>
    <w:aliases w:val="TBU"/>
    <w:basedOn w:val="TitleU"/>
    <w:next w:val="BodyText"/>
    <w:rPr>
      <w:b/>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681"/>
        <w:tab w:val="right" w:pos="9362"/>
      </w:tabs>
    </w:pPr>
  </w:style>
  <w:style w:type="paragraph" w:styleId="Subtitle">
    <w:name w:val="Subtitle"/>
    <w:aliases w:val="S1"/>
    <w:basedOn w:val="Normal"/>
    <w:next w:val="BodyText"/>
    <w:qFormat/>
    <w:pPr>
      <w:keepNext/>
      <w:spacing w:after="480"/>
      <w:jc w:val="center"/>
    </w:pPr>
    <w:rPr>
      <w:rFonts w:cs="Arial"/>
    </w:rPr>
  </w:style>
  <w:style w:type="numbering" w:styleId="111111">
    <w:name w:val="Outline List 2"/>
    <w:basedOn w:val="NoList"/>
    <w:semiHidden/>
    <w:pPr>
      <w:numPr>
        <w:numId w:val="21"/>
      </w:numPr>
    </w:pPr>
  </w:style>
  <w:style w:type="numbering" w:styleId="1ai">
    <w:name w:val="Outline List 1"/>
    <w:basedOn w:val="NoList"/>
    <w:semiHidden/>
    <w:pPr>
      <w:numPr>
        <w:numId w:val="24"/>
      </w:numPr>
    </w:pPr>
  </w:style>
  <w:style w:type="numbering" w:styleId="ArticleSection">
    <w:name w:val="Outline List 3"/>
    <w:basedOn w:val="NoList"/>
    <w:semiHidden/>
    <w:pPr>
      <w:numPr>
        <w:numId w:val="26"/>
      </w:numPr>
    </w:pPr>
  </w:style>
  <w:style w:type="paragraph" w:styleId="BalloonText">
    <w:name w:val="Balloon Text"/>
    <w:basedOn w:val="Normal"/>
    <w:rPr>
      <w:rFonts w:ascii="Tahoma" w:hAnsi="Tahoma" w:cs="Tahoma"/>
      <w:sz w:val="16"/>
      <w:szCs w:val="16"/>
    </w:rPr>
  </w:style>
  <w:style w:type="paragraph" w:styleId="Closing">
    <w:name w:val="Closing"/>
    <w:basedOn w:val="Normal"/>
    <w:pPr>
      <w:ind w:left="468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Header">
    <w:name w:val="header"/>
    <w:basedOn w:val="Normal"/>
    <w:pPr>
      <w:tabs>
        <w:tab w:val="center" w:pos="4680"/>
        <w:tab w:val="right" w:pos="936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customStyle="1" w:styleId="Quote1">
    <w:name w:val="Quote1"/>
    <w:aliases w:val="QT"/>
    <w:basedOn w:val="Normal"/>
    <w:next w:val="BodyText"/>
    <w:pPr>
      <w:spacing w:after="240"/>
      <w:ind w:left="720" w:right="720"/>
    </w:pPr>
  </w:style>
  <w:style w:type="paragraph" w:customStyle="1" w:styleId="Right">
    <w:name w:val="Right"/>
    <w:aliases w:val="RT"/>
    <w:basedOn w:val="Normal"/>
    <w:pPr>
      <w:spacing w:before="240"/>
      <w:jc w:val="right"/>
    </w:pPr>
  </w:style>
  <w:style w:type="paragraph" w:styleId="Signature">
    <w:name w:val="Signature"/>
    <w:basedOn w:val="Normal"/>
    <w:pPr>
      <w:ind w:left="4680"/>
    </w:pPr>
  </w:style>
  <w:style w:type="paragraph" w:customStyle="1" w:styleId="SubtitleB">
    <w:name w:val="Subtitle B"/>
    <w:aliases w:val="SB"/>
    <w:basedOn w:val="Subtitle"/>
    <w:next w:val="BodyText"/>
    <w:rPr>
      <w:b/>
    </w:rPr>
  </w:style>
  <w:style w:type="paragraph" w:customStyle="1" w:styleId="SubtitleU">
    <w:name w:val="Subtitle U"/>
    <w:aliases w:val="SU"/>
    <w:basedOn w:val="SubtitleB"/>
    <w:next w:val="BodyText"/>
    <w:rPr>
      <w:b w:val="0"/>
      <w:u w:val="single"/>
    </w:rPr>
  </w:style>
  <w:style w:type="paragraph" w:customStyle="1" w:styleId="SubtitleBU">
    <w:name w:val="Subtitle BU"/>
    <w:aliases w:val="SBU"/>
    <w:basedOn w:val="SubtitleU"/>
    <w:next w:val="BodyText"/>
    <w:rPr>
      <w:b/>
    </w:rPr>
  </w:style>
  <w:style w:type="table" w:styleId="Table3Deffects1">
    <w:name w:val="Table 3D effects 1"/>
    <w:basedOn w:val="TableNormal"/>
    <w:semiHidden/>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semiHidden/>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semiHidden/>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customStyle="1" w:styleId="FooterChar">
    <w:name w:val="Footer Char"/>
    <w:link w:val="Footer"/>
    <w:uiPriority w:val="99"/>
    <w:rsid w:val="00DF2FE9"/>
    <w:rPr>
      <w:sz w:val="24"/>
      <w:szCs w:val="24"/>
      <w:lang w:eastAsia="ja-JP"/>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tf1">
    <w:name w:val="btf1"/>
    <w:basedOn w:val="Normal"/>
    <w:pPr>
      <w:autoSpaceDE w:val="0"/>
      <w:autoSpaceDN w:val="0"/>
      <w:adjustRightInd w:val="0"/>
      <w:spacing w:after="240"/>
      <w:ind w:firstLine="720"/>
      <w:jc w:val="both"/>
    </w:pPr>
  </w:style>
  <w:style w:type="paragraph" w:styleId="ListParagraph">
    <w:name w:val="List Paragraph"/>
    <w:basedOn w:val="Normal"/>
    <w:uiPriority w:val="34"/>
    <w:qFormat/>
    <w:rsid w:val="00222646"/>
    <w:pPr>
      <w:ind w:left="720"/>
      <w:contextualSpacing/>
    </w:pPr>
  </w:style>
  <w:style w:type="paragraph" w:customStyle="1" w:styleId="DraftLineWC">
    <w:name w:val="DraftLineW&amp;C"/>
    <w:basedOn w:val="Normal"/>
    <w:uiPriority w:val="99"/>
    <w:semiHidden/>
    <w:rsid w:val="001265E1"/>
    <w:pPr>
      <w:framePr w:w="5328" w:hSpace="187" w:vSpace="187" w:wrap="around" w:vAnchor="page" w:hAnchor="page" w:x="5761" w:y="721"/>
      <w:jc w:val="right"/>
    </w:pPr>
    <w:rPr>
      <w:rFonts w:eastAsia="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2880-0EB2-4318-B600-24FC89EC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1627</Words>
  <Characters>8636</Characters>
  <Application>Microsoft Office Word</Application>
  <DocSecurity>0</DocSecurity>
  <Lines>431</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Nussen, Daniel E.</dc:creator>
  <cp:keywords/>
  <dc:description/>
  <cp:lastModifiedBy>White &amp; Case User</cp:lastModifiedBy>
  <cp:revision>2</cp:revision>
  <dcterms:created xsi:type="dcterms:W3CDTF">2022-04-29T04:49:00Z</dcterms:created>
  <dcterms:modified xsi:type="dcterms:W3CDTF">2022-04-29T04:49:00Z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RT_DocNumber">
    <vt:lpwstr>35618434</vt:lpwstr>
  </property>
  <property fmtid="{D5CDD505-2E9C-101B-9397-08002B2CF9AE}" pid="4" name="NRT_DocVersion">
    <vt:lpwstr>3</vt:lpwstr>
  </property>
  <property fmtid="{D5CDD505-2E9C-101B-9397-08002B2CF9AE}" pid="5" name="NRT_DocName">
    <vt:lpwstr>Project Harvest - Related Party Transactions Policy</vt:lpwstr>
  </property>
  <property fmtid="{D5CDD505-2E9C-101B-9397-08002B2CF9AE}" pid="6" name="NRT_AuthorDescription">
    <vt:lpwstr>Zhou, Yuning</vt:lpwstr>
  </property>
  <property fmtid="{D5CDD505-2E9C-101B-9397-08002B2CF9AE}" pid="7" name="NRT_Author">
    <vt:lpwstr>ZHOUYUN</vt:lpwstr>
  </property>
  <property fmtid="{D5CDD505-2E9C-101B-9397-08002B2CF9AE}" pid="8" name="NRT_Operator">
    <vt:lpwstr>zhouyun</vt:lpwstr>
  </property>
  <property fmtid="{D5CDD505-2E9C-101B-9397-08002B2CF9AE}" pid="9" name="NRT_Database">
    <vt:lpwstr>ASIA</vt:lpwstr>
  </property>
  <property fmtid="{D5CDD505-2E9C-101B-9397-08002B2CF9AE}" pid="10" name="NRT_ELITE_CLIENT">
    <vt:lpwstr>1175401</vt:lpwstr>
  </property>
  <property fmtid="{D5CDD505-2E9C-101B-9397-08002B2CF9AE}" pid="11" name="NRT_ELITE_MATTER">
    <vt:lpwstr>0002</vt:lpwstr>
  </property>
  <property fmtid="{D5CDD505-2E9C-101B-9397-08002B2CF9AE}" pid="12" name="pDocRef">
    <vt:lpwstr>1175401-0002.ZHOUYUN</vt:lpwstr>
  </property>
  <property fmtid="{D5CDD505-2E9C-101B-9397-08002B2CF9AE}" pid="13" name="pDocNumber">
    <vt:lpwstr>35618434_3 [ASIA]</vt:lpwstr>
  </property>
  <property fmtid="{D5CDD505-2E9C-101B-9397-08002B2CF9AE}" pid="14" name="WC_LAST_MODIFIED">
    <vt:lpwstr>4/29/2022 12:49:17 PM</vt:lpwstr>
  </property>
</Properties>
</file>