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6B" w:rsidRPr="009F6816" w:rsidRDefault="00281D1B" w:rsidP="000C6C6B">
      <w:pPr>
        <w:tabs>
          <w:tab w:val="left" w:pos="720"/>
          <w:tab w:val="left" w:pos="1440"/>
          <w:tab w:val="left" w:pos="2160"/>
          <w:tab w:val="left" w:pos="5040"/>
        </w:tabs>
        <w:jc w:val="center"/>
        <w:rPr>
          <w:b/>
          <w:sz w:val="20"/>
          <w:szCs w:val="20"/>
        </w:rPr>
      </w:pPr>
      <w:r w:rsidRPr="009F6816">
        <w:rPr>
          <w:b/>
          <w:bCs/>
          <w:sz w:val="20"/>
          <w:szCs w:val="20"/>
        </w:rPr>
        <w:t xml:space="preserve">CHENGHE </w:t>
      </w:r>
      <w:r w:rsidR="00943DDD" w:rsidRPr="009F6816">
        <w:rPr>
          <w:b/>
          <w:bCs/>
          <w:sz w:val="20"/>
          <w:szCs w:val="20"/>
        </w:rPr>
        <w:t>ACQUISITION CO.</w:t>
      </w:r>
    </w:p>
    <w:p w:rsidR="000C6C6B" w:rsidRPr="009F6816" w:rsidRDefault="000C6C6B" w:rsidP="000C6C6B">
      <w:pPr>
        <w:tabs>
          <w:tab w:val="left" w:pos="720"/>
          <w:tab w:val="left" w:pos="1440"/>
          <w:tab w:val="left" w:pos="2160"/>
          <w:tab w:val="left" w:pos="5040"/>
        </w:tabs>
        <w:jc w:val="center"/>
        <w:rPr>
          <w:b/>
          <w:sz w:val="20"/>
          <w:szCs w:val="20"/>
        </w:rPr>
      </w:pPr>
      <w:r w:rsidRPr="009F6816">
        <w:rPr>
          <w:b/>
          <w:sz w:val="20"/>
          <w:szCs w:val="20"/>
        </w:rPr>
        <w:t>POLICY REGARDING INSIDER TRADING AND</w:t>
      </w:r>
    </w:p>
    <w:p w:rsidR="000C6C6B" w:rsidRPr="009F6816" w:rsidRDefault="000C6C6B" w:rsidP="000C6C6B">
      <w:pPr>
        <w:tabs>
          <w:tab w:val="left" w:pos="720"/>
          <w:tab w:val="left" w:pos="1440"/>
          <w:tab w:val="left" w:pos="2160"/>
          <w:tab w:val="left" w:pos="5040"/>
        </w:tabs>
        <w:jc w:val="center"/>
        <w:rPr>
          <w:b/>
          <w:sz w:val="20"/>
          <w:szCs w:val="20"/>
        </w:rPr>
      </w:pPr>
      <w:r w:rsidRPr="009F6816">
        <w:rPr>
          <w:b/>
          <w:sz w:val="20"/>
          <w:szCs w:val="20"/>
        </w:rPr>
        <w:t>DISSEMINATION OF INSIDE INFORMATION</w:t>
      </w:r>
    </w:p>
    <w:p w:rsidR="00090DA4" w:rsidRPr="009F6816" w:rsidRDefault="000C6C6B" w:rsidP="000C6C6B">
      <w:pPr>
        <w:tabs>
          <w:tab w:val="center" w:pos="4680"/>
        </w:tabs>
        <w:suppressAutoHyphens/>
        <w:rPr>
          <w:sz w:val="20"/>
          <w:szCs w:val="20"/>
        </w:rPr>
      </w:pPr>
      <w:r w:rsidRPr="009F6816">
        <w:rPr>
          <w:sz w:val="20"/>
          <w:szCs w:val="20"/>
        </w:rPr>
        <w:tab/>
      </w:r>
    </w:p>
    <w:p w:rsidR="000C6C6B" w:rsidRPr="009F6816" w:rsidRDefault="00090DA4" w:rsidP="00090DA4">
      <w:pPr>
        <w:tabs>
          <w:tab w:val="center" w:pos="4680"/>
        </w:tabs>
        <w:suppressAutoHyphens/>
        <w:jc w:val="center"/>
        <w:rPr>
          <w:b/>
          <w:sz w:val="20"/>
          <w:szCs w:val="20"/>
        </w:rPr>
      </w:pPr>
      <w:r w:rsidRPr="009F6816">
        <w:rPr>
          <w:b/>
          <w:sz w:val="20"/>
          <w:szCs w:val="20"/>
        </w:rPr>
        <w:t xml:space="preserve">Effective </w:t>
      </w:r>
      <w:r w:rsidR="006D5B78">
        <w:rPr>
          <w:b/>
          <w:sz w:val="20"/>
          <w:szCs w:val="20"/>
        </w:rPr>
        <w:t>April 27</w:t>
      </w:r>
      <w:r w:rsidR="002B4311" w:rsidRPr="009F6816">
        <w:rPr>
          <w:b/>
          <w:sz w:val="20"/>
          <w:szCs w:val="20"/>
        </w:rPr>
        <w:t>,</w:t>
      </w:r>
      <w:r w:rsidR="00BA405C" w:rsidRPr="009F6816">
        <w:rPr>
          <w:b/>
          <w:sz w:val="20"/>
          <w:szCs w:val="20"/>
        </w:rPr>
        <w:t xml:space="preserve"> 202</w:t>
      </w:r>
      <w:r w:rsidR="00281D1B" w:rsidRPr="009F6816">
        <w:rPr>
          <w:b/>
          <w:sz w:val="20"/>
          <w:szCs w:val="20"/>
        </w:rPr>
        <w:t>2</w:t>
      </w:r>
    </w:p>
    <w:p w:rsidR="00B6207F" w:rsidRPr="009F6816" w:rsidRDefault="00B6207F" w:rsidP="00B6207F">
      <w:pPr>
        <w:tabs>
          <w:tab w:val="center" w:pos="4680"/>
        </w:tabs>
        <w:suppressAutoHyphens/>
        <w:rPr>
          <w:sz w:val="20"/>
          <w:szCs w:val="20"/>
        </w:rPr>
      </w:pPr>
    </w:p>
    <w:p w:rsidR="00B6207F" w:rsidRPr="009F6816" w:rsidRDefault="00B6207F" w:rsidP="00B6207F">
      <w:pPr>
        <w:pStyle w:val="BTF1"/>
        <w:numPr>
          <w:ilvl w:val="0"/>
          <w:numId w:val="43"/>
        </w:numPr>
        <w:tabs>
          <w:tab w:val="clear" w:pos="1440"/>
          <w:tab w:val="left" w:pos="1260"/>
        </w:tabs>
        <w:ind w:left="720"/>
        <w:rPr>
          <w:b/>
          <w:sz w:val="20"/>
          <w:szCs w:val="20"/>
        </w:rPr>
      </w:pPr>
      <w:r w:rsidRPr="009F6816">
        <w:rPr>
          <w:b/>
          <w:sz w:val="20"/>
          <w:szCs w:val="20"/>
          <w:u w:val="single"/>
        </w:rPr>
        <w:t>INTRODUCTION</w:t>
      </w:r>
    </w:p>
    <w:p w:rsidR="000C6C6B" w:rsidRPr="009F6816" w:rsidRDefault="007B702C" w:rsidP="000C6C6B">
      <w:pPr>
        <w:pStyle w:val="BTF1"/>
        <w:rPr>
          <w:sz w:val="20"/>
          <w:szCs w:val="20"/>
        </w:rPr>
      </w:pPr>
      <w:r w:rsidRPr="009F6816">
        <w:rPr>
          <w:sz w:val="20"/>
          <w:szCs w:val="20"/>
        </w:rPr>
        <w:t>This Policy Regarding Insider Trading and Dissemination of Inside Information (this “</w:t>
      </w:r>
      <w:r w:rsidRPr="009F6816">
        <w:rPr>
          <w:b/>
          <w:i/>
          <w:sz w:val="20"/>
          <w:szCs w:val="20"/>
        </w:rPr>
        <w:t>Policy</w:t>
      </w:r>
      <w:r w:rsidRPr="009F6816">
        <w:rPr>
          <w:sz w:val="20"/>
          <w:szCs w:val="20"/>
        </w:rPr>
        <w:t>”)</w:t>
      </w:r>
      <w:r w:rsidR="000C6C6B" w:rsidRPr="009F6816">
        <w:rPr>
          <w:sz w:val="20"/>
          <w:szCs w:val="20"/>
        </w:rPr>
        <w:t xml:space="preserve"> </w:t>
      </w:r>
      <w:r w:rsidR="00035827" w:rsidRPr="009F6816">
        <w:rPr>
          <w:sz w:val="20"/>
          <w:szCs w:val="20"/>
        </w:rPr>
        <w:t>describes</w:t>
      </w:r>
      <w:r w:rsidR="000C6C6B" w:rsidRPr="009F6816">
        <w:rPr>
          <w:sz w:val="20"/>
          <w:szCs w:val="20"/>
        </w:rPr>
        <w:t xml:space="preserve"> the policy of </w:t>
      </w:r>
      <w:r w:rsidR="00C8107F" w:rsidRPr="009F6816">
        <w:rPr>
          <w:sz w:val="20"/>
          <w:szCs w:val="20"/>
        </w:rPr>
        <w:t>Chenghe</w:t>
      </w:r>
      <w:r w:rsidR="007A4888" w:rsidRPr="009F6816">
        <w:rPr>
          <w:sz w:val="20"/>
          <w:szCs w:val="20"/>
        </w:rPr>
        <w:t xml:space="preserve"> Acquisition Co. </w:t>
      </w:r>
      <w:r w:rsidR="000C6C6B" w:rsidRPr="009F6816">
        <w:rPr>
          <w:sz w:val="20"/>
          <w:szCs w:val="20"/>
        </w:rPr>
        <w:t xml:space="preserve">(the </w:t>
      </w:r>
      <w:r w:rsidR="008F34DE" w:rsidRPr="009F6816">
        <w:rPr>
          <w:sz w:val="20"/>
          <w:szCs w:val="20"/>
        </w:rPr>
        <w:t>“</w:t>
      </w:r>
      <w:r w:rsidR="000C6C6B" w:rsidRPr="009F6816">
        <w:rPr>
          <w:b/>
          <w:i/>
          <w:sz w:val="20"/>
          <w:szCs w:val="20"/>
        </w:rPr>
        <w:t>Company</w:t>
      </w:r>
      <w:r w:rsidR="008F34DE" w:rsidRPr="009F6816">
        <w:rPr>
          <w:sz w:val="20"/>
          <w:szCs w:val="20"/>
        </w:rPr>
        <w:t>”</w:t>
      </w:r>
      <w:r w:rsidR="000C6C6B" w:rsidRPr="009F6816">
        <w:rPr>
          <w:sz w:val="20"/>
          <w:szCs w:val="20"/>
        </w:rPr>
        <w:t>) regarding:</w:t>
      </w:r>
    </w:p>
    <w:p w:rsidR="000C6C6B" w:rsidRPr="009F6816" w:rsidRDefault="000C6C6B" w:rsidP="0034294B">
      <w:pPr>
        <w:pStyle w:val="ListBullet2"/>
        <w:tabs>
          <w:tab w:val="clear" w:pos="1440"/>
          <w:tab w:val="left" w:pos="1080"/>
        </w:tabs>
        <w:ind w:left="1080" w:hanging="360"/>
        <w:rPr>
          <w:sz w:val="20"/>
          <w:szCs w:val="20"/>
        </w:rPr>
      </w:pPr>
      <w:r w:rsidRPr="009F6816">
        <w:rPr>
          <w:sz w:val="20"/>
          <w:szCs w:val="20"/>
        </w:rPr>
        <w:t>the trading of securities while you are in possession of Inside Information (as defined below) (</w:t>
      </w:r>
      <w:r w:rsidR="008F34DE" w:rsidRPr="009F6816">
        <w:rPr>
          <w:b/>
          <w:i/>
          <w:sz w:val="20"/>
          <w:szCs w:val="20"/>
        </w:rPr>
        <w:t>“</w:t>
      </w:r>
      <w:r w:rsidRPr="009F6816">
        <w:rPr>
          <w:b/>
          <w:i/>
          <w:sz w:val="20"/>
          <w:szCs w:val="20"/>
        </w:rPr>
        <w:t>insider trading</w:t>
      </w:r>
      <w:r w:rsidR="008F34DE" w:rsidRPr="009F6816">
        <w:rPr>
          <w:b/>
          <w:i/>
          <w:sz w:val="20"/>
          <w:szCs w:val="20"/>
        </w:rPr>
        <w:t>”</w:t>
      </w:r>
      <w:r w:rsidRPr="009F6816">
        <w:rPr>
          <w:sz w:val="20"/>
          <w:szCs w:val="20"/>
        </w:rPr>
        <w:t>) about the Company or any other company; and</w:t>
      </w:r>
    </w:p>
    <w:p w:rsidR="000C6C6B" w:rsidRPr="009F6816" w:rsidRDefault="000C6C6B" w:rsidP="0034294B">
      <w:pPr>
        <w:pStyle w:val="ListBullet2"/>
        <w:tabs>
          <w:tab w:val="clear" w:pos="1440"/>
          <w:tab w:val="left" w:pos="1260"/>
        </w:tabs>
        <w:ind w:left="1080" w:hanging="360"/>
        <w:rPr>
          <w:sz w:val="20"/>
          <w:szCs w:val="20"/>
        </w:rPr>
      </w:pPr>
      <w:proofErr w:type="gramStart"/>
      <w:r w:rsidRPr="009F6816">
        <w:rPr>
          <w:sz w:val="20"/>
          <w:szCs w:val="20"/>
        </w:rPr>
        <w:t>other</w:t>
      </w:r>
      <w:proofErr w:type="gramEnd"/>
      <w:r w:rsidRPr="009F6816">
        <w:rPr>
          <w:sz w:val="20"/>
          <w:szCs w:val="20"/>
        </w:rPr>
        <w:t xml:space="preserve"> misuse of material non-public information (</w:t>
      </w:r>
      <w:r w:rsidR="008F34DE" w:rsidRPr="009F6816">
        <w:rPr>
          <w:b/>
          <w:i/>
          <w:sz w:val="20"/>
          <w:szCs w:val="20"/>
        </w:rPr>
        <w:t>“</w:t>
      </w:r>
      <w:r w:rsidRPr="009F6816">
        <w:rPr>
          <w:b/>
          <w:i/>
          <w:sz w:val="20"/>
          <w:szCs w:val="20"/>
        </w:rPr>
        <w:t>Inside Information</w:t>
      </w:r>
      <w:r w:rsidR="008F34DE" w:rsidRPr="009F6816">
        <w:rPr>
          <w:b/>
          <w:i/>
          <w:sz w:val="20"/>
          <w:szCs w:val="20"/>
        </w:rPr>
        <w:t>”</w:t>
      </w:r>
      <w:r w:rsidRPr="009F6816">
        <w:rPr>
          <w:sz w:val="20"/>
          <w:szCs w:val="20"/>
        </w:rPr>
        <w:t>) of the Company or any other company.</w:t>
      </w:r>
    </w:p>
    <w:p w:rsidR="000C6C6B" w:rsidRPr="009F6816" w:rsidRDefault="000C6C6B" w:rsidP="000C6C6B">
      <w:pPr>
        <w:pStyle w:val="BTF1"/>
        <w:rPr>
          <w:sz w:val="20"/>
          <w:szCs w:val="20"/>
        </w:rPr>
      </w:pPr>
      <w:r w:rsidRPr="009F6816">
        <w:rPr>
          <w:sz w:val="20"/>
          <w:szCs w:val="20"/>
        </w:rPr>
        <w:t xml:space="preserve">Your obligations and potential liability under securities laws dealing with insider trading abuses </w:t>
      </w:r>
      <w:proofErr w:type="gramStart"/>
      <w:r w:rsidRPr="009F6816">
        <w:rPr>
          <w:sz w:val="20"/>
          <w:szCs w:val="20"/>
        </w:rPr>
        <w:t>are also outlined</w:t>
      </w:r>
      <w:proofErr w:type="gramEnd"/>
      <w:r w:rsidRPr="009F6816">
        <w:rPr>
          <w:sz w:val="20"/>
          <w:szCs w:val="20"/>
        </w:rPr>
        <w:t xml:space="preserve"> below.</w:t>
      </w:r>
    </w:p>
    <w:p w:rsidR="000C6C6B" w:rsidRPr="009F6816" w:rsidRDefault="000C6C6B" w:rsidP="000C6C6B">
      <w:pPr>
        <w:pStyle w:val="BTF1"/>
        <w:rPr>
          <w:sz w:val="20"/>
          <w:szCs w:val="20"/>
        </w:rPr>
      </w:pPr>
      <w:r w:rsidRPr="009F6816">
        <w:rPr>
          <w:sz w:val="20"/>
          <w:szCs w:val="20"/>
        </w:rPr>
        <w:t xml:space="preserve">This </w:t>
      </w:r>
      <w:r w:rsidR="00B9448A" w:rsidRPr="009F6816">
        <w:rPr>
          <w:sz w:val="20"/>
          <w:szCs w:val="20"/>
        </w:rPr>
        <w:t xml:space="preserve">Policy </w:t>
      </w:r>
      <w:r w:rsidRPr="009F6816">
        <w:rPr>
          <w:sz w:val="20"/>
          <w:szCs w:val="20"/>
        </w:rPr>
        <w:t>provides an overview of the most significant aspects involved in insider trading.</w:t>
      </w:r>
      <w:r w:rsidR="00DC0B23" w:rsidRPr="009F6816">
        <w:rPr>
          <w:sz w:val="20"/>
          <w:szCs w:val="20"/>
        </w:rPr>
        <w:t xml:space="preserve"> </w:t>
      </w:r>
      <w:r w:rsidRPr="009F6816">
        <w:rPr>
          <w:sz w:val="20"/>
          <w:szCs w:val="20"/>
        </w:rPr>
        <w:t xml:space="preserve">Every director, officer and employee of the Company must read and retain this </w:t>
      </w:r>
      <w:r w:rsidR="00B9448A" w:rsidRPr="009F6816">
        <w:rPr>
          <w:sz w:val="20"/>
          <w:szCs w:val="20"/>
        </w:rPr>
        <w:t>P</w:t>
      </w:r>
      <w:r w:rsidRPr="009F6816">
        <w:rPr>
          <w:sz w:val="20"/>
          <w:szCs w:val="20"/>
        </w:rPr>
        <w:t>olicy.</w:t>
      </w:r>
    </w:p>
    <w:p w:rsidR="000C6C6B" w:rsidRPr="009F6816" w:rsidRDefault="000C6C6B" w:rsidP="00B6207F">
      <w:pPr>
        <w:pStyle w:val="ListParagraph"/>
        <w:numPr>
          <w:ilvl w:val="0"/>
          <w:numId w:val="43"/>
        </w:numPr>
        <w:tabs>
          <w:tab w:val="left" w:pos="720"/>
          <w:tab w:val="left" w:pos="1350"/>
          <w:tab w:val="left" w:pos="2160"/>
          <w:tab w:val="left" w:pos="5040"/>
        </w:tabs>
        <w:ind w:left="720"/>
        <w:rPr>
          <w:rFonts w:ascii="Times New Roman Bold" w:hAnsi="Times New Roman Bold"/>
          <w:caps/>
          <w:sz w:val="20"/>
          <w:szCs w:val="20"/>
        </w:rPr>
      </w:pPr>
      <w:r w:rsidRPr="009F6816">
        <w:rPr>
          <w:rFonts w:ascii="Times New Roman Bold" w:hAnsi="Times New Roman Bold"/>
          <w:b/>
          <w:caps/>
          <w:sz w:val="20"/>
          <w:szCs w:val="20"/>
          <w:u w:val="single"/>
        </w:rPr>
        <w:t>Statement of the Policy</w:t>
      </w:r>
    </w:p>
    <w:p w:rsidR="000C6C6B" w:rsidRPr="009F6816" w:rsidRDefault="000C6C6B" w:rsidP="000C6C6B">
      <w:pPr>
        <w:tabs>
          <w:tab w:val="left" w:pos="720"/>
          <w:tab w:val="left" w:pos="1440"/>
          <w:tab w:val="left" w:pos="2160"/>
          <w:tab w:val="left" w:pos="5040"/>
        </w:tabs>
        <w:rPr>
          <w:sz w:val="20"/>
          <w:szCs w:val="20"/>
        </w:rPr>
      </w:pPr>
    </w:p>
    <w:p w:rsidR="000C6C6B" w:rsidRPr="009F6816" w:rsidRDefault="00B9448A" w:rsidP="000C6C6B">
      <w:pPr>
        <w:pStyle w:val="BTF1"/>
        <w:rPr>
          <w:sz w:val="20"/>
          <w:szCs w:val="20"/>
        </w:rPr>
      </w:pPr>
      <w:r w:rsidRPr="009F6816">
        <w:rPr>
          <w:sz w:val="20"/>
          <w:szCs w:val="20"/>
        </w:rPr>
        <w:t>N</w:t>
      </w:r>
      <w:r w:rsidR="000C6C6B" w:rsidRPr="009F6816">
        <w:rPr>
          <w:sz w:val="20"/>
          <w:szCs w:val="20"/>
        </w:rPr>
        <w:t>o director, officer</w:t>
      </w:r>
      <w:r w:rsidR="00284AE9" w:rsidRPr="009F6816">
        <w:rPr>
          <w:sz w:val="20"/>
          <w:szCs w:val="20"/>
        </w:rPr>
        <w:t>,</w:t>
      </w:r>
      <w:r w:rsidR="000C6C6B" w:rsidRPr="009F6816">
        <w:rPr>
          <w:sz w:val="20"/>
          <w:szCs w:val="20"/>
        </w:rPr>
        <w:t xml:space="preserve"> employee </w:t>
      </w:r>
      <w:r w:rsidR="00284AE9" w:rsidRPr="009F6816">
        <w:rPr>
          <w:sz w:val="20"/>
          <w:szCs w:val="20"/>
        </w:rPr>
        <w:t xml:space="preserve">or other Insider (as defined below) </w:t>
      </w:r>
      <w:r w:rsidR="000C6C6B" w:rsidRPr="009F6816">
        <w:rPr>
          <w:sz w:val="20"/>
          <w:szCs w:val="20"/>
        </w:rPr>
        <w:t>shall:</w:t>
      </w:r>
    </w:p>
    <w:p w:rsidR="000C6C6B" w:rsidRPr="009F6816" w:rsidRDefault="00F109E5" w:rsidP="00B6207F">
      <w:pPr>
        <w:pStyle w:val="ListBullet2"/>
        <w:tabs>
          <w:tab w:val="clear" w:pos="1440"/>
          <w:tab w:val="left" w:pos="1260"/>
        </w:tabs>
        <w:ind w:left="1080" w:hanging="360"/>
        <w:rPr>
          <w:sz w:val="20"/>
          <w:szCs w:val="20"/>
        </w:rPr>
      </w:pPr>
      <w:r w:rsidRPr="009F6816">
        <w:rPr>
          <w:sz w:val="20"/>
          <w:szCs w:val="20"/>
        </w:rPr>
        <w:t>trade</w:t>
      </w:r>
      <w:r w:rsidR="000C6C6B" w:rsidRPr="009F6816">
        <w:rPr>
          <w:sz w:val="20"/>
          <w:szCs w:val="20"/>
        </w:rPr>
        <w:t xml:space="preserve"> </w:t>
      </w:r>
      <w:r w:rsidR="00DF2256" w:rsidRPr="009F6816">
        <w:rPr>
          <w:sz w:val="20"/>
          <w:szCs w:val="20"/>
        </w:rPr>
        <w:t xml:space="preserve">in </w:t>
      </w:r>
      <w:r w:rsidR="000C6C6B" w:rsidRPr="009F6816">
        <w:rPr>
          <w:sz w:val="20"/>
          <w:szCs w:val="20"/>
        </w:rPr>
        <w:t xml:space="preserve">securities of the Company </w:t>
      </w:r>
      <w:r w:rsidR="00DF2256" w:rsidRPr="009F6816">
        <w:rPr>
          <w:sz w:val="20"/>
          <w:szCs w:val="20"/>
        </w:rPr>
        <w:t xml:space="preserve">or any other company </w:t>
      </w:r>
      <w:r w:rsidR="000C6C6B" w:rsidRPr="009F6816">
        <w:rPr>
          <w:sz w:val="20"/>
          <w:szCs w:val="20"/>
        </w:rPr>
        <w:t>while in possession of Inside Information</w:t>
      </w:r>
      <w:r w:rsidR="00DF2256" w:rsidRPr="009F6816">
        <w:rPr>
          <w:sz w:val="20"/>
          <w:szCs w:val="20"/>
        </w:rPr>
        <w:t xml:space="preserve"> concerning the Company or such other company</w:t>
      </w:r>
      <w:r w:rsidR="000C6C6B" w:rsidRPr="009F6816">
        <w:rPr>
          <w:sz w:val="20"/>
          <w:szCs w:val="20"/>
        </w:rPr>
        <w:t xml:space="preserve">; </w:t>
      </w:r>
    </w:p>
    <w:p w:rsidR="00C95A0D" w:rsidRPr="009F6816" w:rsidRDefault="00CB30B7" w:rsidP="00B6207F">
      <w:pPr>
        <w:pStyle w:val="ListBullet2"/>
        <w:tabs>
          <w:tab w:val="clear" w:pos="1440"/>
          <w:tab w:val="left" w:pos="1260"/>
        </w:tabs>
        <w:ind w:left="1080" w:hanging="360"/>
        <w:rPr>
          <w:sz w:val="20"/>
          <w:szCs w:val="20"/>
        </w:rPr>
      </w:pPr>
      <w:r w:rsidRPr="009F6816">
        <w:rPr>
          <w:sz w:val="20"/>
          <w:szCs w:val="20"/>
        </w:rPr>
        <w:t>dis</w:t>
      </w:r>
      <w:r w:rsidR="00D570CD" w:rsidRPr="009F6816">
        <w:rPr>
          <w:sz w:val="20"/>
          <w:szCs w:val="20"/>
        </w:rPr>
        <w:t>seminate</w:t>
      </w:r>
      <w:r w:rsidR="000C6C6B" w:rsidRPr="009F6816">
        <w:rPr>
          <w:sz w:val="20"/>
          <w:szCs w:val="20"/>
        </w:rPr>
        <w:t xml:space="preserve"> Inside Information</w:t>
      </w:r>
      <w:r w:rsidRPr="009F6816">
        <w:rPr>
          <w:sz w:val="20"/>
          <w:szCs w:val="20"/>
        </w:rPr>
        <w:t xml:space="preserve"> </w:t>
      </w:r>
      <w:r w:rsidR="007635DE" w:rsidRPr="009F6816">
        <w:rPr>
          <w:sz w:val="20"/>
          <w:szCs w:val="20"/>
        </w:rPr>
        <w:t xml:space="preserve">of the Company or any other company </w:t>
      </w:r>
      <w:r w:rsidRPr="009F6816">
        <w:rPr>
          <w:sz w:val="20"/>
          <w:szCs w:val="20"/>
        </w:rPr>
        <w:t xml:space="preserve">to others </w:t>
      </w:r>
      <w:r w:rsidR="004C5925" w:rsidRPr="009F6816">
        <w:rPr>
          <w:sz w:val="20"/>
          <w:szCs w:val="20"/>
        </w:rPr>
        <w:t>(except for legitimate Company purposes in accordance with Company communications policies</w:t>
      </w:r>
      <w:r w:rsidR="00B9448A" w:rsidRPr="009F6816">
        <w:rPr>
          <w:sz w:val="20"/>
          <w:szCs w:val="20"/>
        </w:rPr>
        <w:t>;</w:t>
      </w:r>
      <w:r w:rsidR="004C5925" w:rsidRPr="009F6816">
        <w:rPr>
          <w:sz w:val="20"/>
          <w:szCs w:val="20"/>
        </w:rPr>
        <w:t xml:space="preserve"> </w:t>
      </w:r>
      <w:r w:rsidR="004C5925" w:rsidRPr="009F6816">
        <w:rPr>
          <w:sz w:val="20"/>
          <w:szCs w:val="20"/>
          <w:u w:val="single"/>
        </w:rPr>
        <w:t>provided</w:t>
      </w:r>
      <w:r w:rsidR="004C5925" w:rsidRPr="009F6816">
        <w:rPr>
          <w:sz w:val="20"/>
          <w:szCs w:val="20"/>
        </w:rPr>
        <w:t xml:space="preserve"> that the disclosing person reasonably does not expect the recipient to trade</w:t>
      </w:r>
      <w:r w:rsidR="00B9448A" w:rsidRPr="009F6816">
        <w:rPr>
          <w:sz w:val="20"/>
          <w:szCs w:val="20"/>
        </w:rPr>
        <w:t xml:space="preserve"> in securities</w:t>
      </w:r>
      <w:r w:rsidR="004C5925" w:rsidRPr="009F6816">
        <w:rPr>
          <w:sz w:val="20"/>
          <w:szCs w:val="20"/>
        </w:rPr>
        <w:t>, or disseminate the information to others who may trade</w:t>
      </w:r>
      <w:r w:rsidR="00B9448A" w:rsidRPr="009F6816">
        <w:rPr>
          <w:sz w:val="20"/>
          <w:szCs w:val="20"/>
        </w:rPr>
        <w:t xml:space="preserve"> in securities</w:t>
      </w:r>
      <w:r w:rsidR="004C5925" w:rsidRPr="009F6816">
        <w:rPr>
          <w:sz w:val="20"/>
          <w:szCs w:val="20"/>
        </w:rPr>
        <w:t>, while in possession of such Inside Information)</w:t>
      </w:r>
      <w:r w:rsidR="00C95A0D" w:rsidRPr="009F6816">
        <w:rPr>
          <w:sz w:val="20"/>
          <w:szCs w:val="20"/>
        </w:rPr>
        <w:t>; or</w:t>
      </w:r>
    </w:p>
    <w:p w:rsidR="000C6C6B" w:rsidRPr="009F6816" w:rsidRDefault="00C95A0D" w:rsidP="00B6207F">
      <w:pPr>
        <w:pStyle w:val="ListBullet2"/>
        <w:tabs>
          <w:tab w:val="clear" w:pos="1440"/>
          <w:tab w:val="left" w:pos="1260"/>
        </w:tabs>
        <w:ind w:left="1080" w:hanging="360"/>
        <w:rPr>
          <w:sz w:val="20"/>
          <w:szCs w:val="20"/>
        </w:rPr>
      </w:pPr>
      <w:proofErr w:type="gramStart"/>
      <w:r w:rsidRPr="009F6816">
        <w:rPr>
          <w:sz w:val="20"/>
          <w:szCs w:val="20"/>
        </w:rPr>
        <w:t>engage</w:t>
      </w:r>
      <w:proofErr w:type="gramEnd"/>
      <w:r w:rsidRPr="009F6816">
        <w:rPr>
          <w:sz w:val="20"/>
          <w:szCs w:val="20"/>
        </w:rPr>
        <w:t xml:space="preserve"> in any other action or conduct to take advantage of Inside Information</w:t>
      </w:r>
      <w:r w:rsidR="000C6C6B" w:rsidRPr="009F6816">
        <w:rPr>
          <w:sz w:val="20"/>
          <w:szCs w:val="20"/>
        </w:rPr>
        <w:t>.</w:t>
      </w:r>
    </w:p>
    <w:p w:rsidR="000C6C6B" w:rsidRPr="009F6816" w:rsidRDefault="000C6C6B" w:rsidP="000C6C6B">
      <w:pPr>
        <w:pStyle w:val="BTF1"/>
        <w:rPr>
          <w:sz w:val="20"/>
          <w:szCs w:val="20"/>
        </w:rPr>
      </w:pPr>
      <w:r w:rsidRPr="009F6816">
        <w:rPr>
          <w:sz w:val="20"/>
          <w:szCs w:val="20"/>
        </w:rPr>
        <w:t xml:space="preserve">The </w:t>
      </w:r>
      <w:r w:rsidR="003E5875" w:rsidRPr="009F6816">
        <w:rPr>
          <w:sz w:val="20"/>
          <w:szCs w:val="20"/>
        </w:rPr>
        <w:t xml:space="preserve">prohibited </w:t>
      </w:r>
      <w:r w:rsidRPr="009F6816">
        <w:rPr>
          <w:sz w:val="20"/>
          <w:szCs w:val="20"/>
        </w:rPr>
        <w:t xml:space="preserve">dissemination of </w:t>
      </w:r>
      <w:r w:rsidR="003A0C19" w:rsidRPr="009F6816">
        <w:rPr>
          <w:sz w:val="20"/>
          <w:szCs w:val="20"/>
        </w:rPr>
        <w:t>Inside I</w:t>
      </w:r>
      <w:r w:rsidRPr="009F6816">
        <w:rPr>
          <w:sz w:val="20"/>
          <w:szCs w:val="20"/>
        </w:rPr>
        <w:t>nformation includes the disclosure through written, oral or electronic means to all persons or entities, including friends, family members, business contacts or others.</w:t>
      </w:r>
      <w:r w:rsidR="00DC0B23" w:rsidRPr="009F6816">
        <w:rPr>
          <w:sz w:val="20"/>
          <w:szCs w:val="20"/>
        </w:rPr>
        <w:t xml:space="preserve"> </w:t>
      </w:r>
    </w:p>
    <w:p w:rsidR="000C6C6B" w:rsidRPr="009F6816" w:rsidRDefault="000C6C6B" w:rsidP="000C6C6B">
      <w:pPr>
        <w:pStyle w:val="BTF1"/>
        <w:rPr>
          <w:sz w:val="20"/>
          <w:szCs w:val="20"/>
        </w:rPr>
      </w:pPr>
      <w:r w:rsidRPr="009F6816">
        <w:rPr>
          <w:sz w:val="20"/>
          <w:szCs w:val="20"/>
        </w:rPr>
        <w:t xml:space="preserve">Even the appearance of improper conduct </w:t>
      </w:r>
      <w:proofErr w:type="gramStart"/>
      <w:r w:rsidRPr="009F6816">
        <w:rPr>
          <w:sz w:val="20"/>
          <w:szCs w:val="20"/>
        </w:rPr>
        <w:t>must be avoided</w:t>
      </w:r>
      <w:proofErr w:type="gramEnd"/>
      <w:r w:rsidRPr="009F6816">
        <w:rPr>
          <w:sz w:val="20"/>
          <w:szCs w:val="20"/>
        </w:rPr>
        <w:t xml:space="preserve"> to preserve the Company</w:t>
      </w:r>
      <w:r w:rsidR="008F34DE" w:rsidRPr="009F6816">
        <w:rPr>
          <w:sz w:val="20"/>
          <w:szCs w:val="20"/>
        </w:rPr>
        <w:t>’</w:t>
      </w:r>
      <w:r w:rsidRPr="009F6816">
        <w:rPr>
          <w:sz w:val="20"/>
          <w:szCs w:val="20"/>
        </w:rPr>
        <w:t>s reputation for adhering to high ethical standards of conduct.</w:t>
      </w:r>
      <w:r w:rsidR="00DC0B23" w:rsidRPr="009F6816">
        <w:rPr>
          <w:sz w:val="20"/>
          <w:szCs w:val="20"/>
        </w:rPr>
        <w:t xml:space="preserve"> </w:t>
      </w:r>
      <w:r w:rsidRPr="009F6816">
        <w:rPr>
          <w:sz w:val="20"/>
          <w:szCs w:val="20"/>
        </w:rPr>
        <w:t xml:space="preserve">Accordingly, </w:t>
      </w:r>
      <w:proofErr w:type="gramStart"/>
      <w:r w:rsidRPr="009F6816">
        <w:rPr>
          <w:sz w:val="20"/>
          <w:szCs w:val="20"/>
        </w:rPr>
        <w:t>conduct which merely suggests the possibility of insider trading</w:t>
      </w:r>
      <w:proofErr w:type="gramEnd"/>
      <w:r w:rsidRPr="009F6816">
        <w:rPr>
          <w:sz w:val="20"/>
          <w:szCs w:val="20"/>
        </w:rPr>
        <w:t xml:space="preserve"> may be deemed by the Company, in its sole discretion</w:t>
      </w:r>
      <w:r w:rsidR="00035827" w:rsidRPr="009F6816">
        <w:rPr>
          <w:sz w:val="20"/>
          <w:szCs w:val="20"/>
        </w:rPr>
        <w:t>,</w:t>
      </w:r>
      <w:r w:rsidRPr="009F6816">
        <w:rPr>
          <w:sz w:val="20"/>
          <w:szCs w:val="20"/>
        </w:rPr>
        <w:t xml:space="preserve"> to be a violation of this </w:t>
      </w:r>
      <w:r w:rsidR="00B9448A" w:rsidRPr="009F6816">
        <w:rPr>
          <w:sz w:val="20"/>
          <w:szCs w:val="20"/>
        </w:rPr>
        <w:t>P</w:t>
      </w:r>
      <w:r w:rsidRPr="009F6816">
        <w:rPr>
          <w:sz w:val="20"/>
          <w:szCs w:val="20"/>
        </w:rPr>
        <w:t>olicy.</w:t>
      </w:r>
    </w:p>
    <w:p w:rsidR="000C6C6B" w:rsidRPr="009F6816" w:rsidRDefault="000C6C6B" w:rsidP="00B6207F">
      <w:pPr>
        <w:pStyle w:val="ListParagraph"/>
        <w:keepNext/>
        <w:numPr>
          <w:ilvl w:val="0"/>
          <w:numId w:val="43"/>
        </w:numPr>
        <w:tabs>
          <w:tab w:val="left" w:pos="720"/>
          <w:tab w:val="left" w:pos="1260"/>
          <w:tab w:val="left" w:pos="2160"/>
          <w:tab w:val="left" w:pos="5040"/>
        </w:tabs>
        <w:ind w:left="720"/>
        <w:rPr>
          <w:rFonts w:ascii="Times New Roman Bold" w:hAnsi="Times New Roman Bold"/>
          <w:caps/>
          <w:sz w:val="20"/>
          <w:szCs w:val="20"/>
        </w:rPr>
      </w:pPr>
      <w:r w:rsidRPr="009F6816">
        <w:rPr>
          <w:rFonts w:ascii="Times New Roman Bold" w:hAnsi="Times New Roman Bold"/>
          <w:b/>
          <w:caps/>
          <w:sz w:val="20"/>
          <w:szCs w:val="20"/>
          <w:u w:val="single"/>
        </w:rPr>
        <w:t>Federal Law Prohibiting Insider Trading</w:t>
      </w:r>
    </w:p>
    <w:p w:rsidR="000C6C6B" w:rsidRPr="009F6816" w:rsidRDefault="000C6C6B" w:rsidP="000C6C6B">
      <w:pPr>
        <w:keepNext/>
        <w:tabs>
          <w:tab w:val="left" w:pos="720"/>
          <w:tab w:val="left" w:pos="1440"/>
          <w:tab w:val="left" w:pos="2160"/>
          <w:tab w:val="left" w:pos="5040"/>
        </w:tabs>
        <w:rPr>
          <w:sz w:val="20"/>
          <w:szCs w:val="20"/>
        </w:rPr>
      </w:pPr>
    </w:p>
    <w:p w:rsidR="000C6C6B" w:rsidRPr="009F6816" w:rsidRDefault="000C6C6B" w:rsidP="000C6C6B">
      <w:pPr>
        <w:pStyle w:val="BTF1"/>
        <w:rPr>
          <w:b/>
          <w:sz w:val="20"/>
          <w:szCs w:val="20"/>
        </w:rPr>
      </w:pPr>
      <w:r w:rsidRPr="009F6816">
        <w:rPr>
          <w:sz w:val="20"/>
          <w:szCs w:val="20"/>
        </w:rPr>
        <w:t xml:space="preserve">Rule 10b-5 under the Securities Exchange Act of 1934, as amended (the </w:t>
      </w:r>
      <w:r w:rsidR="008F34DE" w:rsidRPr="009F6816">
        <w:rPr>
          <w:sz w:val="20"/>
          <w:szCs w:val="20"/>
        </w:rPr>
        <w:t>“</w:t>
      </w:r>
      <w:r w:rsidRPr="009F6816">
        <w:rPr>
          <w:b/>
          <w:i/>
          <w:sz w:val="20"/>
          <w:szCs w:val="20"/>
        </w:rPr>
        <w:t>Exchange Act</w:t>
      </w:r>
      <w:r w:rsidR="008F34DE" w:rsidRPr="009F6816">
        <w:rPr>
          <w:sz w:val="20"/>
          <w:szCs w:val="20"/>
        </w:rPr>
        <w:t>”</w:t>
      </w:r>
      <w:r w:rsidRPr="009F6816">
        <w:rPr>
          <w:sz w:val="20"/>
          <w:szCs w:val="20"/>
        </w:rPr>
        <w:t xml:space="preserve">), has been determined by the courts to prohibit trading by an Insider (as defined below) of any securities (debt or equity) of a company </w:t>
      </w:r>
      <w:proofErr w:type="gramStart"/>
      <w:r w:rsidRPr="009F6816">
        <w:rPr>
          <w:sz w:val="20"/>
          <w:szCs w:val="20"/>
        </w:rPr>
        <w:t>on the basis of</w:t>
      </w:r>
      <w:proofErr w:type="gramEnd"/>
      <w:r w:rsidRPr="009F6816">
        <w:rPr>
          <w:sz w:val="20"/>
          <w:szCs w:val="20"/>
        </w:rPr>
        <w:t xml:space="preserve"> Inside Information about such company.</w:t>
      </w:r>
      <w:r w:rsidR="00DC0B23" w:rsidRPr="009F6816">
        <w:rPr>
          <w:sz w:val="20"/>
          <w:szCs w:val="20"/>
        </w:rPr>
        <w:t xml:space="preserve"> </w:t>
      </w:r>
      <w:r w:rsidRPr="009F6816">
        <w:rPr>
          <w:sz w:val="20"/>
          <w:szCs w:val="20"/>
        </w:rPr>
        <w:t>Liability under Rule 10b-5 can apply to trading in the Company</w:t>
      </w:r>
      <w:r w:rsidR="008F34DE" w:rsidRPr="009F6816">
        <w:rPr>
          <w:sz w:val="20"/>
          <w:szCs w:val="20"/>
        </w:rPr>
        <w:t>’</w:t>
      </w:r>
      <w:r w:rsidRPr="009F6816">
        <w:rPr>
          <w:sz w:val="20"/>
          <w:szCs w:val="20"/>
        </w:rPr>
        <w:t xml:space="preserve">s securities or the securities of </w:t>
      </w:r>
      <w:r w:rsidRPr="009F6816">
        <w:rPr>
          <w:sz w:val="20"/>
          <w:szCs w:val="20"/>
          <w:u w:val="single"/>
        </w:rPr>
        <w:t>any</w:t>
      </w:r>
      <w:r w:rsidRPr="009F6816">
        <w:rPr>
          <w:sz w:val="20"/>
          <w:szCs w:val="20"/>
        </w:rPr>
        <w:t xml:space="preserve"> other company if one is in possession of Inside Information about the company whose securities </w:t>
      </w:r>
      <w:proofErr w:type="gramStart"/>
      <w:r w:rsidRPr="009F6816">
        <w:rPr>
          <w:sz w:val="20"/>
          <w:szCs w:val="20"/>
        </w:rPr>
        <w:t>are</w:t>
      </w:r>
      <w:r w:rsidR="00321EA8" w:rsidRPr="009F6816">
        <w:rPr>
          <w:sz w:val="20"/>
          <w:szCs w:val="20"/>
        </w:rPr>
        <w:t xml:space="preserve"> </w:t>
      </w:r>
      <w:r w:rsidRPr="009F6816">
        <w:rPr>
          <w:sz w:val="20"/>
          <w:szCs w:val="20"/>
        </w:rPr>
        <w:t>traded</w:t>
      </w:r>
      <w:proofErr w:type="gramEnd"/>
      <w:r w:rsidRPr="009F6816">
        <w:rPr>
          <w:sz w:val="20"/>
          <w:szCs w:val="20"/>
        </w:rPr>
        <w:t>.</w:t>
      </w:r>
      <w:r w:rsidR="00DC0B23" w:rsidRPr="009F6816">
        <w:rPr>
          <w:sz w:val="20"/>
          <w:szCs w:val="20"/>
        </w:rPr>
        <w:t xml:space="preserve"> </w:t>
      </w:r>
      <w:r w:rsidR="00035827" w:rsidRPr="009F6816">
        <w:rPr>
          <w:b/>
          <w:sz w:val="20"/>
          <w:szCs w:val="20"/>
        </w:rPr>
        <w:t>T</w:t>
      </w:r>
      <w:r w:rsidRPr="009F6816">
        <w:rPr>
          <w:b/>
          <w:sz w:val="20"/>
          <w:szCs w:val="20"/>
        </w:rPr>
        <w:t>he prohibition against insider trading applies to the Company</w:t>
      </w:r>
      <w:r w:rsidR="008F34DE" w:rsidRPr="009F6816">
        <w:rPr>
          <w:b/>
          <w:sz w:val="20"/>
          <w:szCs w:val="20"/>
        </w:rPr>
        <w:t>’</w:t>
      </w:r>
      <w:r w:rsidRPr="009F6816">
        <w:rPr>
          <w:b/>
          <w:sz w:val="20"/>
          <w:szCs w:val="20"/>
        </w:rPr>
        <w:t>s officers, directors</w:t>
      </w:r>
      <w:r w:rsidR="00F72191" w:rsidRPr="009F6816">
        <w:rPr>
          <w:b/>
          <w:sz w:val="20"/>
          <w:szCs w:val="20"/>
        </w:rPr>
        <w:t>,</w:t>
      </w:r>
      <w:r w:rsidRPr="009F6816">
        <w:rPr>
          <w:b/>
          <w:sz w:val="20"/>
          <w:szCs w:val="20"/>
        </w:rPr>
        <w:t xml:space="preserve"> employees </w:t>
      </w:r>
      <w:r w:rsidR="00F72191" w:rsidRPr="009F6816">
        <w:rPr>
          <w:b/>
          <w:sz w:val="20"/>
          <w:szCs w:val="20"/>
        </w:rPr>
        <w:t xml:space="preserve">and other Insiders </w:t>
      </w:r>
      <w:r w:rsidRPr="009F6816">
        <w:rPr>
          <w:b/>
          <w:sz w:val="20"/>
          <w:szCs w:val="20"/>
        </w:rPr>
        <w:t xml:space="preserve">at all times regardless of whether or not the Company is observing a scheduled or special </w:t>
      </w:r>
      <w:r w:rsidR="008F34DE" w:rsidRPr="009F6816">
        <w:rPr>
          <w:b/>
          <w:sz w:val="20"/>
          <w:szCs w:val="20"/>
        </w:rPr>
        <w:t>“</w:t>
      </w:r>
      <w:r w:rsidRPr="009F6816">
        <w:rPr>
          <w:b/>
          <w:sz w:val="20"/>
          <w:szCs w:val="20"/>
        </w:rPr>
        <w:t>blackout</w:t>
      </w:r>
      <w:r w:rsidR="008F34DE" w:rsidRPr="009F6816">
        <w:rPr>
          <w:b/>
          <w:sz w:val="20"/>
          <w:szCs w:val="20"/>
        </w:rPr>
        <w:t>”</w:t>
      </w:r>
      <w:r w:rsidRPr="009F6816">
        <w:rPr>
          <w:b/>
          <w:sz w:val="20"/>
          <w:szCs w:val="20"/>
        </w:rPr>
        <w:t xml:space="preserve"> period</w:t>
      </w:r>
      <w:r w:rsidR="006D0823" w:rsidRPr="009F6816">
        <w:rPr>
          <w:b/>
          <w:sz w:val="20"/>
          <w:szCs w:val="20"/>
        </w:rPr>
        <w:t>.</w:t>
      </w:r>
    </w:p>
    <w:p w:rsidR="000C6C6B" w:rsidRPr="009F6816" w:rsidRDefault="000C6C6B" w:rsidP="000C6C6B">
      <w:pPr>
        <w:pStyle w:val="BTF1"/>
        <w:rPr>
          <w:sz w:val="20"/>
          <w:szCs w:val="20"/>
        </w:rPr>
      </w:pPr>
      <w:proofErr w:type="gramStart"/>
      <w:r w:rsidRPr="009F6816">
        <w:rPr>
          <w:sz w:val="20"/>
          <w:szCs w:val="20"/>
        </w:rPr>
        <w:lastRenderedPageBreak/>
        <w:t>Liability under Rule 10b-5 may attach not only to Insiders who trade while in possession of Inside Information, but also, under certain circumstances, to (</w:t>
      </w:r>
      <w:proofErr w:type="spellStart"/>
      <w:r w:rsidRPr="009F6816">
        <w:rPr>
          <w:sz w:val="20"/>
          <w:szCs w:val="20"/>
        </w:rPr>
        <w:t>i</w:t>
      </w:r>
      <w:proofErr w:type="spellEnd"/>
      <w:r w:rsidRPr="009F6816">
        <w:rPr>
          <w:sz w:val="20"/>
          <w:szCs w:val="20"/>
        </w:rPr>
        <w:t>) Insiders who disclose or tip Inside Information</w:t>
      </w:r>
      <w:r w:rsidR="00B9448A" w:rsidRPr="009F6816">
        <w:rPr>
          <w:sz w:val="20"/>
          <w:szCs w:val="20"/>
        </w:rPr>
        <w:t xml:space="preserve"> (tippers)</w:t>
      </w:r>
      <w:r w:rsidRPr="009F6816">
        <w:rPr>
          <w:sz w:val="20"/>
          <w:szCs w:val="20"/>
        </w:rPr>
        <w:t xml:space="preserve"> to third parties without trading themselves, and (ii) third parties (such as relatives, business associates or friends) who have received Inside Information from Insiders (</w:t>
      </w:r>
      <w:proofErr w:type="spellStart"/>
      <w:r w:rsidRPr="009F6816">
        <w:rPr>
          <w:sz w:val="20"/>
          <w:szCs w:val="20"/>
        </w:rPr>
        <w:t>tippees</w:t>
      </w:r>
      <w:proofErr w:type="spellEnd"/>
      <w:r w:rsidRPr="009F6816">
        <w:rPr>
          <w:sz w:val="20"/>
          <w:szCs w:val="20"/>
        </w:rPr>
        <w:t>) and trade while in possession of that Inside Information.</w:t>
      </w:r>
      <w:proofErr w:type="gramEnd"/>
    </w:p>
    <w:p w:rsidR="00180B7C" w:rsidRPr="009F6816" w:rsidRDefault="00180B7C" w:rsidP="00B6207F">
      <w:pPr>
        <w:pStyle w:val="ListParagraph"/>
        <w:keepNext/>
        <w:numPr>
          <w:ilvl w:val="0"/>
          <w:numId w:val="43"/>
        </w:numPr>
        <w:tabs>
          <w:tab w:val="left" w:pos="720"/>
          <w:tab w:val="left" w:pos="1260"/>
          <w:tab w:val="left" w:pos="1350"/>
          <w:tab w:val="left" w:pos="2160"/>
          <w:tab w:val="left" w:pos="5040"/>
        </w:tabs>
        <w:ind w:left="720"/>
        <w:rPr>
          <w:rFonts w:ascii="Times New Roman Bold" w:hAnsi="Times New Roman Bold"/>
          <w:caps/>
          <w:sz w:val="20"/>
          <w:szCs w:val="20"/>
        </w:rPr>
      </w:pPr>
      <w:r w:rsidRPr="009F6816">
        <w:rPr>
          <w:rFonts w:ascii="Times New Roman Bold" w:hAnsi="Times New Roman Bold"/>
          <w:b/>
          <w:caps/>
          <w:sz w:val="20"/>
          <w:szCs w:val="20"/>
          <w:u w:val="single"/>
        </w:rPr>
        <w:t>The Consequences of Insider Trading</w:t>
      </w:r>
    </w:p>
    <w:p w:rsidR="00180B7C" w:rsidRPr="009F6816" w:rsidRDefault="00180B7C" w:rsidP="00180B7C">
      <w:pPr>
        <w:keepNext/>
        <w:tabs>
          <w:tab w:val="left" w:pos="720"/>
          <w:tab w:val="left" w:pos="1440"/>
          <w:tab w:val="left" w:pos="2160"/>
          <w:tab w:val="left" w:pos="5040"/>
        </w:tabs>
        <w:rPr>
          <w:sz w:val="20"/>
          <w:szCs w:val="20"/>
        </w:rPr>
      </w:pPr>
    </w:p>
    <w:p w:rsidR="00180B7C" w:rsidRPr="009F6816" w:rsidRDefault="00180B7C" w:rsidP="00180B7C">
      <w:pPr>
        <w:pStyle w:val="BTF1"/>
        <w:rPr>
          <w:sz w:val="20"/>
          <w:szCs w:val="20"/>
        </w:rPr>
      </w:pPr>
      <w:r w:rsidRPr="009F6816">
        <w:rPr>
          <w:sz w:val="20"/>
          <w:szCs w:val="20"/>
        </w:rPr>
        <w:t>Individuals who trade on material non-public information (or tip information to others) can be subject to an array of civil and criminal penalties.</w:t>
      </w:r>
      <w:r w:rsidR="00DC0B23" w:rsidRPr="009F6816">
        <w:rPr>
          <w:sz w:val="20"/>
          <w:szCs w:val="20"/>
        </w:rPr>
        <w:t xml:space="preserve"> </w:t>
      </w:r>
      <w:proofErr w:type="gramStart"/>
      <w:r w:rsidRPr="009F6816">
        <w:rPr>
          <w:sz w:val="20"/>
          <w:szCs w:val="20"/>
        </w:rPr>
        <w:t xml:space="preserve">Violations are taken very seriously by the </w:t>
      </w:r>
      <w:r w:rsidR="00D0778F" w:rsidRPr="009F6816">
        <w:rPr>
          <w:sz w:val="20"/>
          <w:szCs w:val="20"/>
        </w:rPr>
        <w:t xml:space="preserve">U.S. </w:t>
      </w:r>
      <w:r w:rsidRPr="009F6816">
        <w:rPr>
          <w:sz w:val="20"/>
          <w:szCs w:val="20"/>
        </w:rPr>
        <w:t>Securities and Exchange Commission, the federal agency responsible for enforcing the law in this area</w:t>
      </w:r>
      <w:proofErr w:type="gramEnd"/>
      <w:r w:rsidRPr="009F6816">
        <w:rPr>
          <w:sz w:val="20"/>
          <w:szCs w:val="20"/>
        </w:rPr>
        <w:t>.</w:t>
      </w:r>
      <w:r w:rsidR="00DC0B23" w:rsidRPr="009F6816">
        <w:rPr>
          <w:sz w:val="20"/>
          <w:szCs w:val="20"/>
        </w:rPr>
        <w:t xml:space="preserve"> </w:t>
      </w:r>
      <w:r w:rsidRPr="009F6816">
        <w:rPr>
          <w:sz w:val="20"/>
          <w:szCs w:val="20"/>
        </w:rPr>
        <w:t>Potential sanctions include:</w:t>
      </w:r>
    </w:p>
    <w:p w:rsidR="00180B7C" w:rsidRPr="009F6816" w:rsidRDefault="00180B7C" w:rsidP="002F5F7B">
      <w:pPr>
        <w:pStyle w:val="ListBullet2"/>
        <w:tabs>
          <w:tab w:val="clear" w:pos="1440"/>
          <w:tab w:val="left" w:pos="1350"/>
        </w:tabs>
        <w:ind w:left="1080" w:hanging="360"/>
        <w:rPr>
          <w:sz w:val="20"/>
          <w:szCs w:val="20"/>
        </w:rPr>
      </w:pPr>
      <w:r w:rsidRPr="009F6816">
        <w:rPr>
          <w:sz w:val="20"/>
          <w:szCs w:val="20"/>
        </w:rPr>
        <w:t>disgorgement of profits gained or losses avoided and interest thereon;</w:t>
      </w:r>
    </w:p>
    <w:p w:rsidR="00180B7C" w:rsidRPr="009F6816" w:rsidRDefault="00180B7C" w:rsidP="002F5F7B">
      <w:pPr>
        <w:pStyle w:val="ListBullet2"/>
        <w:tabs>
          <w:tab w:val="clear" w:pos="1440"/>
          <w:tab w:val="left" w:pos="1350"/>
        </w:tabs>
        <w:ind w:left="1080" w:hanging="360"/>
        <w:rPr>
          <w:sz w:val="20"/>
          <w:szCs w:val="20"/>
        </w:rPr>
      </w:pPr>
      <w:r w:rsidRPr="009F6816">
        <w:rPr>
          <w:sz w:val="20"/>
          <w:szCs w:val="20"/>
        </w:rPr>
        <w:t xml:space="preserve">a civil penalty of up to three times the profit gained or loss avoided; </w:t>
      </w:r>
    </w:p>
    <w:p w:rsidR="00180B7C" w:rsidRPr="009F6816" w:rsidRDefault="00180B7C" w:rsidP="002F5F7B">
      <w:pPr>
        <w:pStyle w:val="ListBullet2"/>
        <w:tabs>
          <w:tab w:val="clear" w:pos="1440"/>
          <w:tab w:val="left" w:pos="1350"/>
        </w:tabs>
        <w:ind w:left="1080" w:hanging="360"/>
        <w:rPr>
          <w:sz w:val="20"/>
          <w:szCs w:val="20"/>
        </w:rPr>
      </w:pPr>
      <w:r w:rsidRPr="009F6816">
        <w:rPr>
          <w:sz w:val="20"/>
          <w:szCs w:val="20"/>
        </w:rPr>
        <w:t>a bar from acting as an officer or director of a publicly traded company;</w:t>
      </w:r>
    </w:p>
    <w:p w:rsidR="00180B7C" w:rsidRPr="009F6816" w:rsidRDefault="00180B7C" w:rsidP="002F5F7B">
      <w:pPr>
        <w:pStyle w:val="ListBullet2"/>
        <w:tabs>
          <w:tab w:val="clear" w:pos="1440"/>
          <w:tab w:val="left" w:pos="1350"/>
        </w:tabs>
        <w:ind w:left="1080" w:hanging="360"/>
        <w:rPr>
          <w:sz w:val="20"/>
          <w:szCs w:val="20"/>
        </w:rPr>
      </w:pPr>
      <w:r w:rsidRPr="009F6816">
        <w:rPr>
          <w:sz w:val="20"/>
          <w:szCs w:val="20"/>
        </w:rPr>
        <w:t>a criminal fine (no matter how small the profit or the lack thereof) of up to $1 million; and</w:t>
      </w:r>
    </w:p>
    <w:p w:rsidR="00180B7C" w:rsidRPr="009F6816" w:rsidRDefault="00180B7C" w:rsidP="002F5F7B">
      <w:pPr>
        <w:pStyle w:val="ListBullet2"/>
        <w:tabs>
          <w:tab w:val="clear" w:pos="1440"/>
          <w:tab w:val="left" w:pos="1350"/>
        </w:tabs>
        <w:ind w:left="1080" w:hanging="360"/>
        <w:rPr>
          <w:sz w:val="20"/>
          <w:szCs w:val="20"/>
        </w:rPr>
      </w:pPr>
      <w:proofErr w:type="gramStart"/>
      <w:r w:rsidRPr="009F6816">
        <w:rPr>
          <w:sz w:val="20"/>
          <w:szCs w:val="20"/>
        </w:rPr>
        <w:t>a</w:t>
      </w:r>
      <w:proofErr w:type="gramEnd"/>
      <w:r w:rsidRPr="009F6816">
        <w:rPr>
          <w:sz w:val="20"/>
          <w:szCs w:val="20"/>
        </w:rPr>
        <w:t xml:space="preserve"> jail term of up to ten years.</w:t>
      </w:r>
    </w:p>
    <w:p w:rsidR="00180B7C" w:rsidRPr="009F6816" w:rsidRDefault="00180B7C" w:rsidP="00180B7C">
      <w:pPr>
        <w:pStyle w:val="BTF1"/>
        <w:rPr>
          <w:sz w:val="20"/>
          <w:szCs w:val="20"/>
        </w:rPr>
      </w:pPr>
      <w:r w:rsidRPr="009F6816">
        <w:rPr>
          <w:sz w:val="20"/>
          <w:szCs w:val="20"/>
        </w:rPr>
        <w:t>These penalties can apply even if the individual is not a director, officer or senior manager.</w:t>
      </w:r>
      <w:r w:rsidR="00DC0B23" w:rsidRPr="009F6816">
        <w:rPr>
          <w:sz w:val="20"/>
          <w:szCs w:val="20"/>
        </w:rPr>
        <w:t xml:space="preserve"> </w:t>
      </w:r>
      <w:r w:rsidRPr="009F6816">
        <w:rPr>
          <w:sz w:val="20"/>
          <w:szCs w:val="20"/>
        </w:rPr>
        <w:t xml:space="preserve">In addition to the potentially severe civil and criminal penalties for violation of the insider trading laws, violation of this </w:t>
      </w:r>
      <w:r w:rsidR="00B9448A" w:rsidRPr="009F6816">
        <w:rPr>
          <w:sz w:val="20"/>
          <w:szCs w:val="20"/>
        </w:rPr>
        <w:t>P</w:t>
      </w:r>
      <w:r w:rsidR="00D44070" w:rsidRPr="009F6816">
        <w:rPr>
          <w:sz w:val="20"/>
          <w:szCs w:val="20"/>
        </w:rPr>
        <w:t>olicy</w:t>
      </w:r>
      <w:r w:rsidRPr="009F6816">
        <w:rPr>
          <w:sz w:val="20"/>
          <w:szCs w:val="20"/>
        </w:rPr>
        <w:t xml:space="preserve"> may result in the imposition of Company sanctions, including dismissal.</w:t>
      </w:r>
      <w:r w:rsidR="00DC0B23" w:rsidRPr="009F6816">
        <w:rPr>
          <w:sz w:val="20"/>
          <w:szCs w:val="20"/>
        </w:rPr>
        <w:t xml:space="preserve"> </w:t>
      </w:r>
      <w:r w:rsidRPr="009F6816">
        <w:rPr>
          <w:sz w:val="20"/>
          <w:szCs w:val="20"/>
        </w:rPr>
        <w:t xml:space="preserve">A conviction or finding of liability for insider trading can also result in individuals being banned generally from employment in the securities or financial industries or other employment, and even a mere allegation of insider trading can result in severe harm to </w:t>
      </w:r>
      <w:r w:rsidR="00B9448A" w:rsidRPr="009F6816">
        <w:rPr>
          <w:sz w:val="20"/>
          <w:szCs w:val="20"/>
        </w:rPr>
        <w:t xml:space="preserve">one’s </w:t>
      </w:r>
      <w:r w:rsidRPr="009F6816">
        <w:rPr>
          <w:sz w:val="20"/>
          <w:szCs w:val="20"/>
        </w:rPr>
        <w:t>professional and personal reputation.</w:t>
      </w:r>
    </w:p>
    <w:p w:rsidR="00180B7C" w:rsidRPr="009F6816" w:rsidRDefault="00180B7C" w:rsidP="00180B7C">
      <w:pPr>
        <w:pStyle w:val="BTF1"/>
        <w:rPr>
          <w:sz w:val="20"/>
          <w:szCs w:val="20"/>
        </w:rPr>
      </w:pPr>
      <w:r w:rsidRPr="009F6816">
        <w:rPr>
          <w:sz w:val="20"/>
          <w:szCs w:val="20"/>
        </w:rPr>
        <w:t xml:space="preserve">A transaction that may be necessary or seem justifiable for independent reasons </w:t>
      </w:r>
      <w:proofErr w:type="gramStart"/>
      <w:r w:rsidRPr="009F6816">
        <w:rPr>
          <w:sz w:val="20"/>
          <w:szCs w:val="20"/>
        </w:rPr>
        <w:t xml:space="preserve">(including a need to raise money for a personal financial emergency) is neither an exception to this </w:t>
      </w:r>
      <w:r w:rsidR="00B9448A" w:rsidRPr="009F6816">
        <w:rPr>
          <w:sz w:val="20"/>
          <w:szCs w:val="20"/>
        </w:rPr>
        <w:t>P</w:t>
      </w:r>
      <w:r w:rsidRPr="009F6816">
        <w:rPr>
          <w:sz w:val="20"/>
          <w:szCs w:val="20"/>
        </w:rPr>
        <w:t>olicy nor a safeguard against prosecution for violation of insider trading laws</w:t>
      </w:r>
      <w:proofErr w:type="gramEnd"/>
      <w:r w:rsidRPr="009F6816">
        <w:rPr>
          <w:sz w:val="20"/>
          <w:szCs w:val="20"/>
        </w:rPr>
        <w:t>.</w:t>
      </w:r>
    </w:p>
    <w:p w:rsidR="00A533A1" w:rsidRPr="009F6816" w:rsidRDefault="00180B7C" w:rsidP="00A533A1">
      <w:pPr>
        <w:pStyle w:val="BTF1"/>
        <w:rPr>
          <w:sz w:val="20"/>
          <w:szCs w:val="20"/>
        </w:rPr>
      </w:pPr>
      <w:r w:rsidRPr="009F6816">
        <w:rPr>
          <w:sz w:val="20"/>
          <w:szCs w:val="20"/>
        </w:rPr>
        <w:t xml:space="preserve">For a company (as well as possibly any supervisory person) that fails to take appropriate steps to prevent illegal trading, a civil penalty of the greater of $1 million or three times the profit gained or loss avoided </w:t>
      </w:r>
      <w:proofErr w:type="gramStart"/>
      <w:r w:rsidRPr="009F6816">
        <w:rPr>
          <w:sz w:val="20"/>
          <w:szCs w:val="20"/>
        </w:rPr>
        <w:t>as a result</w:t>
      </w:r>
      <w:proofErr w:type="gramEnd"/>
      <w:r w:rsidRPr="009F6816">
        <w:rPr>
          <w:sz w:val="20"/>
          <w:szCs w:val="20"/>
        </w:rPr>
        <w:t xml:space="preserve"> of an employee</w:t>
      </w:r>
      <w:r w:rsidR="008F34DE" w:rsidRPr="009F6816">
        <w:rPr>
          <w:sz w:val="20"/>
          <w:szCs w:val="20"/>
        </w:rPr>
        <w:t>’</w:t>
      </w:r>
      <w:r w:rsidRPr="009F6816">
        <w:rPr>
          <w:sz w:val="20"/>
          <w:szCs w:val="20"/>
        </w:rPr>
        <w:t>s violation and a criminal fine of up to $2.5 million may be imposed.</w:t>
      </w:r>
      <w:r w:rsidR="00DC0B23" w:rsidRPr="009F6816">
        <w:rPr>
          <w:sz w:val="20"/>
          <w:szCs w:val="20"/>
        </w:rPr>
        <w:t xml:space="preserve"> </w:t>
      </w:r>
      <w:r w:rsidRPr="009F6816">
        <w:rPr>
          <w:sz w:val="20"/>
          <w:szCs w:val="20"/>
        </w:rPr>
        <w:t xml:space="preserve">There are also likely to be </w:t>
      </w:r>
      <w:r w:rsidR="0035568F" w:rsidRPr="009F6816">
        <w:rPr>
          <w:sz w:val="20"/>
          <w:szCs w:val="20"/>
        </w:rPr>
        <w:t>s</w:t>
      </w:r>
      <w:r w:rsidR="006E3E0C" w:rsidRPr="009F6816">
        <w:rPr>
          <w:sz w:val="20"/>
          <w:szCs w:val="20"/>
        </w:rPr>
        <w:t>hare</w:t>
      </w:r>
      <w:r w:rsidR="0035568F" w:rsidRPr="009F6816">
        <w:rPr>
          <w:sz w:val="20"/>
          <w:szCs w:val="20"/>
        </w:rPr>
        <w:t>hold</w:t>
      </w:r>
      <w:r w:rsidRPr="009F6816">
        <w:rPr>
          <w:sz w:val="20"/>
          <w:szCs w:val="20"/>
        </w:rPr>
        <w:t>er lawsuits and adverse publicity arising from such illegal conduct.</w:t>
      </w:r>
    </w:p>
    <w:p w:rsidR="000C6C6B" w:rsidRPr="009F6816" w:rsidRDefault="004260D1" w:rsidP="00A533A1">
      <w:pPr>
        <w:pStyle w:val="BTF1"/>
        <w:numPr>
          <w:ilvl w:val="0"/>
          <w:numId w:val="43"/>
        </w:numPr>
        <w:tabs>
          <w:tab w:val="clear" w:pos="1440"/>
          <w:tab w:val="left" w:pos="1350"/>
        </w:tabs>
        <w:ind w:left="720"/>
        <w:jc w:val="left"/>
        <w:rPr>
          <w:rFonts w:ascii="Times New Roman Bold" w:hAnsi="Times New Roman Bold"/>
          <w:caps/>
          <w:sz w:val="20"/>
          <w:szCs w:val="20"/>
        </w:rPr>
      </w:pPr>
      <w:r w:rsidRPr="009F6816">
        <w:rPr>
          <w:rFonts w:ascii="Times New Roman Bold" w:hAnsi="Times New Roman Bold"/>
          <w:b/>
          <w:caps/>
          <w:sz w:val="20"/>
          <w:szCs w:val="20"/>
          <w:u w:val="single"/>
        </w:rPr>
        <w:t xml:space="preserve">Who </w:t>
      </w:r>
      <w:r w:rsidR="00056855" w:rsidRPr="009F6816">
        <w:rPr>
          <w:rFonts w:ascii="Times New Roman Bold" w:hAnsi="Times New Roman Bold"/>
          <w:b/>
          <w:caps/>
          <w:sz w:val="20"/>
          <w:szCs w:val="20"/>
          <w:u w:val="single"/>
        </w:rPr>
        <w:t>I</w:t>
      </w:r>
      <w:r w:rsidRPr="009F6816">
        <w:rPr>
          <w:rFonts w:ascii="Times New Roman Bold" w:hAnsi="Times New Roman Bold"/>
          <w:b/>
          <w:caps/>
          <w:sz w:val="20"/>
          <w:szCs w:val="20"/>
          <w:u w:val="single"/>
        </w:rPr>
        <w:t xml:space="preserve">s an </w:t>
      </w:r>
      <w:r w:rsidR="008F34DE" w:rsidRPr="009F6816">
        <w:rPr>
          <w:rFonts w:ascii="Times New Roman Bold" w:hAnsi="Times New Roman Bold" w:hint="eastAsia"/>
          <w:b/>
          <w:caps/>
          <w:sz w:val="20"/>
          <w:szCs w:val="20"/>
          <w:u w:val="single"/>
        </w:rPr>
        <w:t>“</w:t>
      </w:r>
      <w:r w:rsidRPr="009F6816">
        <w:rPr>
          <w:rFonts w:ascii="Times New Roman Bold" w:hAnsi="Times New Roman Bold"/>
          <w:b/>
          <w:caps/>
          <w:sz w:val="20"/>
          <w:szCs w:val="20"/>
          <w:u w:val="single"/>
        </w:rPr>
        <w:t>Insider</w:t>
      </w:r>
      <w:r w:rsidR="008F34DE" w:rsidRPr="009F6816">
        <w:rPr>
          <w:rFonts w:ascii="Times New Roman Bold" w:hAnsi="Times New Roman Bold" w:hint="eastAsia"/>
          <w:b/>
          <w:caps/>
          <w:sz w:val="20"/>
          <w:szCs w:val="20"/>
          <w:u w:val="single"/>
        </w:rPr>
        <w:t>”</w:t>
      </w:r>
      <w:r w:rsidRPr="009F6816">
        <w:rPr>
          <w:rFonts w:ascii="Times New Roman Bold" w:hAnsi="Times New Roman Bold"/>
          <w:b/>
          <w:caps/>
          <w:sz w:val="20"/>
          <w:szCs w:val="20"/>
          <w:u w:val="single"/>
        </w:rPr>
        <w:t xml:space="preserve"> for Purposes of the Insider Trading Prohibitions?</w:t>
      </w:r>
    </w:p>
    <w:p w:rsidR="000C6C6B" w:rsidRPr="009F6816" w:rsidRDefault="000C6C6B" w:rsidP="000C6C6B">
      <w:pPr>
        <w:pStyle w:val="BTF1"/>
        <w:rPr>
          <w:sz w:val="20"/>
          <w:szCs w:val="20"/>
        </w:rPr>
      </w:pPr>
      <w:r w:rsidRPr="009F6816">
        <w:rPr>
          <w:sz w:val="20"/>
          <w:szCs w:val="20"/>
        </w:rPr>
        <w:t xml:space="preserve">An </w:t>
      </w:r>
      <w:r w:rsidR="008F34DE" w:rsidRPr="009F6816">
        <w:rPr>
          <w:b/>
          <w:i/>
          <w:sz w:val="20"/>
          <w:szCs w:val="20"/>
        </w:rPr>
        <w:t>“</w:t>
      </w:r>
      <w:r w:rsidRPr="009F6816">
        <w:rPr>
          <w:b/>
          <w:i/>
          <w:sz w:val="20"/>
          <w:szCs w:val="20"/>
        </w:rPr>
        <w:t>Insider</w:t>
      </w:r>
      <w:r w:rsidR="008F34DE" w:rsidRPr="009F6816">
        <w:rPr>
          <w:b/>
          <w:i/>
          <w:sz w:val="20"/>
          <w:szCs w:val="20"/>
        </w:rPr>
        <w:t>”</w:t>
      </w:r>
      <w:r w:rsidRPr="009F6816">
        <w:rPr>
          <w:sz w:val="20"/>
          <w:szCs w:val="20"/>
        </w:rPr>
        <w:t xml:space="preserve"> for purposes of insider trading law is </w:t>
      </w:r>
      <w:r w:rsidRPr="009F6816">
        <w:rPr>
          <w:sz w:val="20"/>
          <w:szCs w:val="20"/>
          <w:u w:val="single"/>
        </w:rPr>
        <w:t>any person</w:t>
      </w:r>
      <w:r w:rsidRPr="009F6816">
        <w:rPr>
          <w:b/>
          <w:i/>
          <w:sz w:val="20"/>
          <w:szCs w:val="20"/>
        </w:rPr>
        <w:t xml:space="preserve"> </w:t>
      </w:r>
      <w:r w:rsidRPr="009F6816">
        <w:rPr>
          <w:sz w:val="20"/>
          <w:szCs w:val="20"/>
        </w:rPr>
        <w:t>who possesses Inside Information</w:t>
      </w:r>
      <w:proofErr w:type="gramStart"/>
      <w:r w:rsidRPr="009F6816">
        <w:rPr>
          <w:sz w:val="20"/>
          <w:szCs w:val="20"/>
        </w:rPr>
        <w:t>;</w:t>
      </w:r>
      <w:proofErr w:type="gramEnd"/>
      <w:r w:rsidRPr="009F6816">
        <w:rPr>
          <w:sz w:val="20"/>
          <w:szCs w:val="20"/>
        </w:rPr>
        <w:t xml:space="preserve"> the status results from such possession and not simply a person</w:t>
      </w:r>
      <w:r w:rsidR="008F34DE" w:rsidRPr="009F6816">
        <w:rPr>
          <w:sz w:val="20"/>
          <w:szCs w:val="20"/>
        </w:rPr>
        <w:t>’</w:t>
      </w:r>
      <w:r w:rsidRPr="009F6816">
        <w:rPr>
          <w:sz w:val="20"/>
          <w:szCs w:val="20"/>
        </w:rPr>
        <w:t>s position, if any, with the Company.</w:t>
      </w:r>
      <w:r w:rsidR="00DC0B23" w:rsidRPr="009F6816">
        <w:rPr>
          <w:sz w:val="20"/>
          <w:szCs w:val="20"/>
        </w:rPr>
        <w:t xml:space="preserve"> </w:t>
      </w:r>
      <w:r w:rsidRPr="009F6816">
        <w:rPr>
          <w:sz w:val="20"/>
          <w:szCs w:val="20"/>
        </w:rPr>
        <w:t>Accordingly, Insiders subject to liability for insider trading are not solely those executive officers and directors who are required to report their securities transactions of Company</w:t>
      </w:r>
      <w:r w:rsidR="008A6F59" w:rsidRPr="009F6816">
        <w:rPr>
          <w:sz w:val="20"/>
          <w:szCs w:val="20"/>
        </w:rPr>
        <w:t>’s</w:t>
      </w:r>
      <w:r w:rsidRPr="009F6816">
        <w:rPr>
          <w:sz w:val="20"/>
          <w:szCs w:val="20"/>
        </w:rPr>
        <w:t xml:space="preserve"> </w:t>
      </w:r>
      <w:r w:rsidR="008D1369" w:rsidRPr="009F6816">
        <w:rPr>
          <w:sz w:val="20"/>
          <w:szCs w:val="20"/>
        </w:rPr>
        <w:t>ordinary shares</w:t>
      </w:r>
      <w:r w:rsidRPr="009F6816">
        <w:rPr>
          <w:sz w:val="20"/>
          <w:szCs w:val="20"/>
        </w:rPr>
        <w:t xml:space="preserve"> under Section 16 of the Exchange Act and who </w:t>
      </w:r>
      <w:proofErr w:type="gramStart"/>
      <w:r w:rsidRPr="009F6816">
        <w:rPr>
          <w:sz w:val="20"/>
          <w:szCs w:val="20"/>
        </w:rPr>
        <w:t>are also</w:t>
      </w:r>
      <w:proofErr w:type="gramEnd"/>
      <w:r w:rsidRPr="009F6816">
        <w:rPr>
          <w:sz w:val="20"/>
          <w:szCs w:val="20"/>
        </w:rPr>
        <w:t xml:space="preserve"> often referred to as </w:t>
      </w:r>
      <w:r w:rsidR="008F34DE" w:rsidRPr="009F6816">
        <w:rPr>
          <w:sz w:val="20"/>
          <w:szCs w:val="20"/>
        </w:rPr>
        <w:t>“</w:t>
      </w:r>
      <w:r w:rsidRPr="009F6816">
        <w:rPr>
          <w:sz w:val="20"/>
          <w:szCs w:val="20"/>
        </w:rPr>
        <w:t>insiders</w:t>
      </w:r>
      <w:r w:rsidR="008F34DE" w:rsidRPr="009F6816">
        <w:rPr>
          <w:sz w:val="20"/>
          <w:szCs w:val="20"/>
        </w:rPr>
        <w:t>”</w:t>
      </w:r>
      <w:r w:rsidRPr="009F6816">
        <w:rPr>
          <w:sz w:val="20"/>
          <w:szCs w:val="20"/>
        </w:rPr>
        <w:t xml:space="preserve"> for purposes of that law.</w:t>
      </w:r>
      <w:r w:rsidR="00DC0B23" w:rsidRPr="009F6816">
        <w:rPr>
          <w:sz w:val="20"/>
          <w:szCs w:val="20"/>
        </w:rPr>
        <w:t xml:space="preserve"> </w:t>
      </w:r>
      <w:r w:rsidRPr="009F6816">
        <w:rPr>
          <w:sz w:val="20"/>
          <w:szCs w:val="20"/>
        </w:rPr>
        <w:t>The category of potential Insiders for purposes of insider trading law includes not only the Company</w:t>
      </w:r>
      <w:r w:rsidR="008F34DE" w:rsidRPr="009F6816">
        <w:rPr>
          <w:sz w:val="20"/>
          <w:szCs w:val="20"/>
        </w:rPr>
        <w:t>’</w:t>
      </w:r>
      <w:r w:rsidRPr="009F6816">
        <w:rPr>
          <w:sz w:val="20"/>
          <w:szCs w:val="20"/>
        </w:rPr>
        <w:t xml:space="preserve">s directors, officers and employees, </w:t>
      </w:r>
      <w:proofErr w:type="gramStart"/>
      <w:r w:rsidRPr="009F6816">
        <w:rPr>
          <w:sz w:val="20"/>
          <w:szCs w:val="20"/>
        </w:rPr>
        <w:t>but also</w:t>
      </w:r>
      <w:proofErr w:type="gramEnd"/>
      <w:r w:rsidRPr="009F6816">
        <w:rPr>
          <w:sz w:val="20"/>
          <w:szCs w:val="20"/>
        </w:rPr>
        <w:t xml:space="preserve"> outside professional advisors and business consultants who have access to Inside Information prior to its public release and absorption by the securities markets. </w:t>
      </w:r>
    </w:p>
    <w:p w:rsidR="004260D1" w:rsidRPr="009F6816" w:rsidRDefault="004260D1" w:rsidP="00A533A1">
      <w:pPr>
        <w:pStyle w:val="ListParagraph"/>
        <w:numPr>
          <w:ilvl w:val="0"/>
          <w:numId w:val="43"/>
        </w:numPr>
        <w:tabs>
          <w:tab w:val="left" w:pos="720"/>
          <w:tab w:val="left" w:pos="1350"/>
          <w:tab w:val="left" w:pos="2160"/>
          <w:tab w:val="left" w:pos="5040"/>
        </w:tabs>
        <w:spacing w:after="240"/>
        <w:ind w:left="720"/>
        <w:rPr>
          <w:rFonts w:ascii="Times New Roman Bold" w:hAnsi="Times New Roman Bold"/>
          <w:b/>
          <w:caps/>
          <w:sz w:val="20"/>
          <w:szCs w:val="20"/>
        </w:rPr>
      </w:pPr>
      <w:r w:rsidRPr="009F6816">
        <w:rPr>
          <w:rFonts w:ascii="Times New Roman Bold" w:hAnsi="Times New Roman Bold"/>
          <w:b/>
          <w:caps/>
          <w:sz w:val="20"/>
          <w:szCs w:val="20"/>
          <w:u w:val="single"/>
        </w:rPr>
        <w:t>Persons Covered by the Policy</w:t>
      </w:r>
    </w:p>
    <w:p w:rsidR="004260D1" w:rsidRPr="009F6816" w:rsidRDefault="00CB5E63" w:rsidP="004260D1">
      <w:pPr>
        <w:pStyle w:val="BTF1"/>
        <w:rPr>
          <w:sz w:val="20"/>
          <w:szCs w:val="20"/>
        </w:rPr>
      </w:pPr>
      <w:r w:rsidRPr="009F6816">
        <w:rPr>
          <w:sz w:val="20"/>
          <w:szCs w:val="20"/>
        </w:rPr>
        <w:t xml:space="preserve">This </w:t>
      </w:r>
      <w:r w:rsidR="00B9448A" w:rsidRPr="009F6816">
        <w:rPr>
          <w:sz w:val="20"/>
          <w:szCs w:val="20"/>
        </w:rPr>
        <w:t>P</w:t>
      </w:r>
      <w:r w:rsidR="000C6C6B" w:rsidRPr="009F6816">
        <w:rPr>
          <w:sz w:val="20"/>
          <w:szCs w:val="20"/>
        </w:rPr>
        <w:t xml:space="preserve">olicy </w:t>
      </w:r>
      <w:r w:rsidR="004260D1" w:rsidRPr="009F6816">
        <w:rPr>
          <w:sz w:val="20"/>
          <w:szCs w:val="20"/>
        </w:rPr>
        <w:t>covers the directors, officers</w:t>
      </w:r>
      <w:r w:rsidR="0080121F" w:rsidRPr="009F6816">
        <w:rPr>
          <w:sz w:val="20"/>
          <w:szCs w:val="20"/>
        </w:rPr>
        <w:t xml:space="preserve"> and</w:t>
      </w:r>
      <w:r w:rsidR="004260D1" w:rsidRPr="009F6816">
        <w:rPr>
          <w:sz w:val="20"/>
          <w:szCs w:val="20"/>
        </w:rPr>
        <w:t xml:space="preserve"> employees </w:t>
      </w:r>
      <w:r w:rsidR="0080121F" w:rsidRPr="009F6816">
        <w:rPr>
          <w:sz w:val="20"/>
          <w:szCs w:val="20"/>
        </w:rPr>
        <w:t xml:space="preserve">of the Company, and outside professional advisors and business consultants of the Company who have access to Inside Information </w:t>
      </w:r>
      <w:r w:rsidR="004260D1" w:rsidRPr="009F6816">
        <w:rPr>
          <w:sz w:val="20"/>
          <w:szCs w:val="20"/>
        </w:rPr>
        <w:t>of the Company</w:t>
      </w:r>
      <w:r w:rsidR="0080121F" w:rsidRPr="009F6816">
        <w:rPr>
          <w:sz w:val="20"/>
          <w:szCs w:val="20"/>
        </w:rPr>
        <w:t>,</w:t>
      </w:r>
      <w:r w:rsidR="004260D1" w:rsidRPr="009F6816">
        <w:rPr>
          <w:sz w:val="20"/>
          <w:szCs w:val="20"/>
        </w:rPr>
        <w:t xml:space="preserve"> as well as their Family Members and Controlled Entities.</w:t>
      </w:r>
    </w:p>
    <w:p w:rsidR="000C6C6B" w:rsidRPr="009F6816" w:rsidRDefault="008F34DE" w:rsidP="004260D1">
      <w:pPr>
        <w:pStyle w:val="BTF1"/>
        <w:rPr>
          <w:sz w:val="20"/>
          <w:szCs w:val="20"/>
        </w:rPr>
      </w:pPr>
      <w:r w:rsidRPr="009F6816">
        <w:rPr>
          <w:sz w:val="20"/>
          <w:szCs w:val="20"/>
        </w:rPr>
        <w:t>“</w:t>
      </w:r>
      <w:r w:rsidR="004260D1" w:rsidRPr="009F6816">
        <w:rPr>
          <w:b/>
          <w:i/>
          <w:sz w:val="20"/>
          <w:szCs w:val="20"/>
        </w:rPr>
        <w:t>Family Members</w:t>
      </w:r>
      <w:r w:rsidRPr="009F6816">
        <w:rPr>
          <w:b/>
          <w:i/>
          <w:sz w:val="20"/>
          <w:szCs w:val="20"/>
        </w:rPr>
        <w:t>”</w:t>
      </w:r>
      <w:r w:rsidR="004260D1" w:rsidRPr="009F6816">
        <w:rPr>
          <w:b/>
          <w:i/>
          <w:sz w:val="20"/>
          <w:szCs w:val="20"/>
        </w:rPr>
        <w:t xml:space="preserve"> </w:t>
      </w:r>
      <w:r w:rsidR="004260D1" w:rsidRPr="009F6816">
        <w:rPr>
          <w:sz w:val="20"/>
          <w:szCs w:val="20"/>
        </w:rPr>
        <w:t>include a person</w:t>
      </w:r>
      <w:r w:rsidRPr="009F6816">
        <w:rPr>
          <w:sz w:val="20"/>
          <w:szCs w:val="20"/>
        </w:rPr>
        <w:t>’</w:t>
      </w:r>
      <w:r w:rsidR="004260D1" w:rsidRPr="009F6816">
        <w:rPr>
          <w:sz w:val="20"/>
          <w:szCs w:val="20"/>
        </w:rPr>
        <w:t xml:space="preserve">s </w:t>
      </w:r>
      <w:r w:rsidR="000C6C6B" w:rsidRPr="009F6816">
        <w:rPr>
          <w:sz w:val="20"/>
          <w:szCs w:val="20"/>
        </w:rPr>
        <w:t xml:space="preserve">spouse, partner, financially dependent children, relative, or other members of </w:t>
      </w:r>
      <w:r w:rsidR="004260D1" w:rsidRPr="009F6816">
        <w:rPr>
          <w:sz w:val="20"/>
          <w:szCs w:val="20"/>
        </w:rPr>
        <w:t>such person</w:t>
      </w:r>
      <w:r w:rsidRPr="009F6816">
        <w:rPr>
          <w:sz w:val="20"/>
          <w:szCs w:val="20"/>
        </w:rPr>
        <w:t>’</w:t>
      </w:r>
      <w:r w:rsidR="004260D1" w:rsidRPr="009F6816">
        <w:rPr>
          <w:sz w:val="20"/>
          <w:szCs w:val="20"/>
        </w:rPr>
        <w:t xml:space="preserve">s </w:t>
      </w:r>
      <w:r w:rsidR="000C6C6B" w:rsidRPr="009F6816">
        <w:rPr>
          <w:sz w:val="20"/>
          <w:szCs w:val="20"/>
        </w:rPr>
        <w:t xml:space="preserve">immediate household to whose support </w:t>
      </w:r>
      <w:r w:rsidR="004260D1" w:rsidRPr="009F6816">
        <w:rPr>
          <w:sz w:val="20"/>
          <w:szCs w:val="20"/>
        </w:rPr>
        <w:t>such person</w:t>
      </w:r>
      <w:r w:rsidR="000C6C6B" w:rsidRPr="009F6816">
        <w:rPr>
          <w:sz w:val="20"/>
          <w:szCs w:val="20"/>
        </w:rPr>
        <w:t xml:space="preserve"> contribute</w:t>
      </w:r>
      <w:r w:rsidR="004260D1" w:rsidRPr="009F6816">
        <w:rPr>
          <w:sz w:val="20"/>
          <w:szCs w:val="20"/>
        </w:rPr>
        <w:t xml:space="preserve">s </w:t>
      </w:r>
      <w:r w:rsidR="000C6C6B" w:rsidRPr="009F6816">
        <w:rPr>
          <w:sz w:val="20"/>
          <w:szCs w:val="20"/>
        </w:rPr>
        <w:t xml:space="preserve">or whose investments </w:t>
      </w:r>
      <w:r w:rsidR="004260D1" w:rsidRPr="009F6816">
        <w:rPr>
          <w:sz w:val="20"/>
          <w:szCs w:val="20"/>
        </w:rPr>
        <w:t>such person</w:t>
      </w:r>
      <w:r w:rsidR="000C6C6B" w:rsidRPr="009F6816">
        <w:rPr>
          <w:sz w:val="20"/>
          <w:szCs w:val="20"/>
        </w:rPr>
        <w:t xml:space="preserve"> control</w:t>
      </w:r>
      <w:r w:rsidR="004260D1" w:rsidRPr="009F6816">
        <w:rPr>
          <w:sz w:val="20"/>
          <w:szCs w:val="20"/>
        </w:rPr>
        <w:t>s</w:t>
      </w:r>
      <w:r w:rsidR="000C6C6B" w:rsidRPr="009F6816">
        <w:rPr>
          <w:sz w:val="20"/>
          <w:szCs w:val="20"/>
        </w:rPr>
        <w:t>.</w:t>
      </w:r>
      <w:r w:rsidR="00DC0B23" w:rsidRPr="009F6816">
        <w:rPr>
          <w:sz w:val="20"/>
          <w:szCs w:val="20"/>
        </w:rPr>
        <w:t xml:space="preserve"> </w:t>
      </w:r>
    </w:p>
    <w:p w:rsidR="000C6C6B" w:rsidRPr="009F6816" w:rsidRDefault="008F34DE" w:rsidP="000C6C6B">
      <w:pPr>
        <w:pStyle w:val="BTF1"/>
        <w:rPr>
          <w:sz w:val="20"/>
          <w:szCs w:val="20"/>
        </w:rPr>
      </w:pPr>
      <w:r w:rsidRPr="009F6816">
        <w:rPr>
          <w:sz w:val="20"/>
          <w:szCs w:val="20"/>
        </w:rPr>
        <w:t>“</w:t>
      </w:r>
      <w:r w:rsidR="004260D1" w:rsidRPr="009F6816">
        <w:rPr>
          <w:b/>
          <w:i/>
          <w:sz w:val="20"/>
          <w:szCs w:val="20"/>
        </w:rPr>
        <w:t>Controlled Entities</w:t>
      </w:r>
      <w:r w:rsidRPr="009F6816">
        <w:rPr>
          <w:b/>
          <w:i/>
          <w:sz w:val="20"/>
          <w:szCs w:val="20"/>
        </w:rPr>
        <w:t>”</w:t>
      </w:r>
      <w:r w:rsidR="004260D1" w:rsidRPr="009F6816">
        <w:rPr>
          <w:b/>
          <w:i/>
          <w:sz w:val="20"/>
          <w:szCs w:val="20"/>
        </w:rPr>
        <w:t xml:space="preserve"> </w:t>
      </w:r>
      <w:r w:rsidR="004260D1" w:rsidRPr="009F6816">
        <w:rPr>
          <w:sz w:val="20"/>
          <w:szCs w:val="20"/>
        </w:rPr>
        <w:t xml:space="preserve">include </w:t>
      </w:r>
      <w:r w:rsidR="000C6C6B" w:rsidRPr="009F6816">
        <w:rPr>
          <w:sz w:val="20"/>
          <w:szCs w:val="20"/>
        </w:rPr>
        <w:t xml:space="preserve">any </w:t>
      </w:r>
      <w:r w:rsidR="004260D1" w:rsidRPr="009F6816">
        <w:rPr>
          <w:sz w:val="20"/>
          <w:szCs w:val="20"/>
        </w:rPr>
        <w:t xml:space="preserve">legal </w:t>
      </w:r>
      <w:r w:rsidR="000C6C6B" w:rsidRPr="009F6816">
        <w:rPr>
          <w:sz w:val="20"/>
          <w:szCs w:val="20"/>
        </w:rPr>
        <w:t>entities controlled by a person</w:t>
      </w:r>
      <w:r w:rsidR="004C5925" w:rsidRPr="009F6816">
        <w:rPr>
          <w:sz w:val="20"/>
          <w:szCs w:val="20"/>
        </w:rPr>
        <w:t>,</w:t>
      </w:r>
      <w:r w:rsidR="000C6C6B" w:rsidRPr="009F6816">
        <w:rPr>
          <w:sz w:val="20"/>
          <w:szCs w:val="20"/>
        </w:rPr>
        <w:t xml:space="preserve"> </w:t>
      </w:r>
      <w:r w:rsidR="004260D1" w:rsidRPr="009F6816">
        <w:rPr>
          <w:sz w:val="20"/>
          <w:szCs w:val="20"/>
        </w:rPr>
        <w:t>such as</w:t>
      </w:r>
      <w:r w:rsidR="000C6C6B" w:rsidRPr="009F6816">
        <w:rPr>
          <w:sz w:val="20"/>
          <w:szCs w:val="20"/>
        </w:rPr>
        <w:t xml:space="preserve"> any corporations, partnerships, or trusts</w:t>
      </w:r>
      <w:r w:rsidR="004260D1" w:rsidRPr="009F6816">
        <w:rPr>
          <w:sz w:val="20"/>
          <w:szCs w:val="20"/>
        </w:rPr>
        <w:t>.</w:t>
      </w:r>
      <w:r w:rsidR="000C6C6B" w:rsidRPr="009F6816">
        <w:rPr>
          <w:sz w:val="20"/>
          <w:szCs w:val="20"/>
        </w:rPr>
        <w:t xml:space="preserve"> </w:t>
      </w:r>
    </w:p>
    <w:p w:rsidR="000C6C6B" w:rsidRPr="009F6816" w:rsidRDefault="000C6C6B" w:rsidP="00CB0200">
      <w:pPr>
        <w:pStyle w:val="ListParagraph"/>
        <w:numPr>
          <w:ilvl w:val="0"/>
          <w:numId w:val="43"/>
        </w:numPr>
        <w:tabs>
          <w:tab w:val="left" w:pos="720"/>
          <w:tab w:val="left" w:pos="1350"/>
          <w:tab w:val="left" w:pos="2160"/>
          <w:tab w:val="left" w:pos="5040"/>
        </w:tabs>
        <w:ind w:left="720"/>
        <w:rPr>
          <w:rFonts w:ascii="Times New Roman Bold" w:hAnsi="Times New Roman Bold"/>
          <w:b/>
          <w:caps/>
          <w:sz w:val="20"/>
          <w:szCs w:val="20"/>
          <w:u w:val="single"/>
        </w:rPr>
      </w:pPr>
      <w:r w:rsidRPr="009F6816">
        <w:rPr>
          <w:rFonts w:ascii="Times New Roman Bold" w:hAnsi="Times New Roman Bold"/>
          <w:b/>
          <w:caps/>
          <w:sz w:val="20"/>
          <w:szCs w:val="20"/>
          <w:u w:val="single"/>
        </w:rPr>
        <w:t>Individual Responsibility</w:t>
      </w:r>
    </w:p>
    <w:p w:rsidR="00D44070" w:rsidRPr="009F6816" w:rsidRDefault="00D44070" w:rsidP="000C6C6B">
      <w:pPr>
        <w:tabs>
          <w:tab w:val="left" w:pos="720"/>
          <w:tab w:val="left" w:pos="1440"/>
          <w:tab w:val="left" w:pos="2160"/>
          <w:tab w:val="left" w:pos="5040"/>
        </w:tabs>
        <w:rPr>
          <w:b/>
          <w:sz w:val="20"/>
          <w:szCs w:val="20"/>
        </w:rPr>
      </w:pPr>
    </w:p>
    <w:p w:rsidR="000C6C6B" w:rsidRPr="009F6816" w:rsidRDefault="000C6C6B" w:rsidP="000C6C6B">
      <w:pPr>
        <w:pStyle w:val="BTF1"/>
        <w:rPr>
          <w:sz w:val="20"/>
          <w:szCs w:val="20"/>
        </w:rPr>
      </w:pPr>
      <w:r w:rsidRPr="009F6816">
        <w:rPr>
          <w:sz w:val="20"/>
          <w:szCs w:val="20"/>
        </w:rPr>
        <w:t xml:space="preserve">Persons subject to this </w:t>
      </w:r>
      <w:r w:rsidR="00B9448A" w:rsidRPr="009F6816">
        <w:rPr>
          <w:sz w:val="20"/>
          <w:szCs w:val="20"/>
        </w:rPr>
        <w:t>P</w:t>
      </w:r>
      <w:r w:rsidR="00D44070" w:rsidRPr="009F6816">
        <w:rPr>
          <w:sz w:val="20"/>
          <w:szCs w:val="20"/>
        </w:rPr>
        <w:t>olicy</w:t>
      </w:r>
      <w:r w:rsidRPr="009F6816">
        <w:rPr>
          <w:sz w:val="20"/>
          <w:szCs w:val="20"/>
        </w:rPr>
        <w:t xml:space="preserve"> have ethical and legal obligations to maintain the confidentiality of </w:t>
      </w:r>
      <w:r w:rsidR="00B309DD" w:rsidRPr="009F6816">
        <w:rPr>
          <w:sz w:val="20"/>
          <w:szCs w:val="20"/>
        </w:rPr>
        <w:t>Inside I</w:t>
      </w:r>
      <w:r w:rsidRPr="009F6816">
        <w:rPr>
          <w:sz w:val="20"/>
          <w:szCs w:val="20"/>
        </w:rPr>
        <w:t xml:space="preserve">nformation and to not </w:t>
      </w:r>
      <w:r w:rsidR="00B309DD" w:rsidRPr="009F6816">
        <w:rPr>
          <w:sz w:val="20"/>
          <w:szCs w:val="20"/>
        </w:rPr>
        <w:t>trade</w:t>
      </w:r>
      <w:r w:rsidRPr="009F6816">
        <w:rPr>
          <w:sz w:val="20"/>
          <w:szCs w:val="20"/>
        </w:rPr>
        <w:t xml:space="preserve"> while in possession of </w:t>
      </w:r>
      <w:r w:rsidR="009833E4" w:rsidRPr="009F6816">
        <w:rPr>
          <w:sz w:val="20"/>
          <w:szCs w:val="20"/>
        </w:rPr>
        <w:t>Inside Information</w:t>
      </w:r>
      <w:r w:rsidRPr="009F6816">
        <w:rPr>
          <w:sz w:val="20"/>
          <w:szCs w:val="20"/>
        </w:rPr>
        <w:t xml:space="preserve">. Each individual is responsible for making sure that he or she complies with this </w:t>
      </w:r>
      <w:r w:rsidR="00B9448A" w:rsidRPr="009F6816">
        <w:rPr>
          <w:sz w:val="20"/>
          <w:szCs w:val="20"/>
        </w:rPr>
        <w:t>P</w:t>
      </w:r>
      <w:r w:rsidR="00D44070" w:rsidRPr="009F6816">
        <w:rPr>
          <w:sz w:val="20"/>
          <w:szCs w:val="20"/>
        </w:rPr>
        <w:t>olicy</w:t>
      </w:r>
      <w:r w:rsidR="004260D1" w:rsidRPr="009F6816">
        <w:rPr>
          <w:sz w:val="20"/>
          <w:szCs w:val="20"/>
        </w:rPr>
        <w:t>, and that any F</w:t>
      </w:r>
      <w:r w:rsidRPr="009F6816">
        <w:rPr>
          <w:sz w:val="20"/>
          <w:szCs w:val="20"/>
        </w:rPr>
        <w:t xml:space="preserve">amily </w:t>
      </w:r>
      <w:r w:rsidR="004260D1" w:rsidRPr="009F6816">
        <w:rPr>
          <w:sz w:val="20"/>
          <w:szCs w:val="20"/>
        </w:rPr>
        <w:t>M</w:t>
      </w:r>
      <w:r w:rsidRPr="009F6816">
        <w:rPr>
          <w:sz w:val="20"/>
          <w:szCs w:val="20"/>
        </w:rPr>
        <w:t xml:space="preserve">ember or </w:t>
      </w:r>
      <w:r w:rsidR="009833E4" w:rsidRPr="009F6816">
        <w:rPr>
          <w:sz w:val="20"/>
          <w:szCs w:val="20"/>
        </w:rPr>
        <w:t xml:space="preserve">Controlled </w:t>
      </w:r>
      <w:proofErr w:type="gramStart"/>
      <w:r w:rsidR="009833E4" w:rsidRPr="009F6816">
        <w:rPr>
          <w:sz w:val="20"/>
          <w:szCs w:val="20"/>
        </w:rPr>
        <w:t>Entity</w:t>
      </w:r>
      <w:r w:rsidRPr="009F6816">
        <w:rPr>
          <w:sz w:val="20"/>
          <w:szCs w:val="20"/>
        </w:rPr>
        <w:t xml:space="preserve"> also</w:t>
      </w:r>
      <w:proofErr w:type="gramEnd"/>
      <w:r w:rsidRPr="009F6816">
        <w:rPr>
          <w:sz w:val="20"/>
          <w:szCs w:val="20"/>
        </w:rPr>
        <w:t xml:space="preserve"> compl</w:t>
      </w:r>
      <w:r w:rsidR="009833E4" w:rsidRPr="009F6816">
        <w:rPr>
          <w:sz w:val="20"/>
          <w:szCs w:val="20"/>
        </w:rPr>
        <w:t>ies</w:t>
      </w:r>
      <w:r w:rsidRPr="009F6816">
        <w:rPr>
          <w:sz w:val="20"/>
          <w:szCs w:val="20"/>
        </w:rPr>
        <w:t xml:space="preserve"> with this </w:t>
      </w:r>
      <w:r w:rsidR="00D44070" w:rsidRPr="009F6816">
        <w:rPr>
          <w:sz w:val="20"/>
          <w:szCs w:val="20"/>
        </w:rPr>
        <w:t>policy</w:t>
      </w:r>
      <w:r w:rsidRPr="009F6816">
        <w:rPr>
          <w:sz w:val="20"/>
          <w:szCs w:val="20"/>
        </w:rPr>
        <w:t>.</w:t>
      </w:r>
      <w:r w:rsidR="00DC0B23" w:rsidRPr="009F6816">
        <w:rPr>
          <w:sz w:val="20"/>
          <w:szCs w:val="20"/>
        </w:rPr>
        <w:t xml:space="preserve"> </w:t>
      </w:r>
      <w:proofErr w:type="gramStart"/>
      <w:r w:rsidRPr="009F6816">
        <w:rPr>
          <w:sz w:val="20"/>
          <w:szCs w:val="20"/>
        </w:rPr>
        <w:t xml:space="preserve">In all cases, the responsibility for determining whether an individual is in possession of </w:t>
      </w:r>
      <w:r w:rsidR="009833E4" w:rsidRPr="009F6816">
        <w:rPr>
          <w:sz w:val="20"/>
          <w:szCs w:val="20"/>
        </w:rPr>
        <w:t>Inside Information</w:t>
      </w:r>
      <w:r w:rsidR="009833E4" w:rsidRPr="009F6816" w:rsidDel="009833E4">
        <w:rPr>
          <w:sz w:val="20"/>
          <w:szCs w:val="20"/>
        </w:rPr>
        <w:t xml:space="preserve"> </w:t>
      </w:r>
      <w:r w:rsidRPr="009F6816">
        <w:rPr>
          <w:sz w:val="20"/>
          <w:szCs w:val="20"/>
        </w:rPr>
        <w:t xml:space="preserve">rests with that individual, and any action on the part of the Company, the </w:t>
      </w:r>
      <w:r w:rsidR="0049172F" w:rsidRPr="009F6816">
        <w:rPr>
          <w:sz w:val="20"/>
          <w:szCs w:val="20"/>
        </w:rPr>
        <w:t>Administrator</w:t>
      </w:r>
      <w:r w:rsidR="00372AE3" w:rsidRPr="009F6816">
        <w:rPr>
          <w:sz w:val="20"/>
          <w:szCs w:val="20"/>
        </w:rPr>
        <w:t xml:space="preserve"> (as defined under the </w:t>
      </w:r>
      <w:r w:rsidR="004B5F4C" w:rsidRPr="009F6816">
        <w:rPr>
          <w:sz w:val="20"/>
          <w:szCs w:val="20"/>
        </w:rPr>
        <w:t>caption</w:t>
      </w:r>
      <w:r w:rsidR="00372AE3" w:rsidRPr="009F6816">
        <w:rPr>
          <w:sz w:val="20"/>
          <w:szCs w:val="20"/>
        </w:rPr>
        <w:t xml:space="preserve"> “Administration of the Policy”)</w:t>
      </w:r>
      <w:r w:rsidRPr="009F6816">
        <w:rPr>
          <w:sz w:val="20"/>
          <w:szCs w:val="20"/>
        </w:rPr>
        <w:t xml:space="preserve"> or any other employee or director pursuant to this </w:t>
      </w:r>
      <w:r w:rsidR="00B9448A" w:rsidRPr="009F6816">
        <w:rPr>
          <w:sz w:val="20"/>
          <w:szCs w:val="20"/>
        </w:rPr>
        <w:t>P</w:t>
      </w:r>
      <w:r w:rsidR="00D44070" w:rsidRPr="009F6816">
        <w:rPr>
          <w:sz w:val="20"/>
          <w:szCs w:val="20"/>
        </w:rPr>
        <w:t>olicy</w:t>
      </w:r>
      <w:r w:rsidRPr="009F6816">
        <w:rPr>
          <w:sz w:val="20"/>
          <w:szCs w:val="20"/>
        </w:rPr>
        <w:t xml:space="preserve"> (or otherwise) does not in any way constitute legal advice or insulate an individual from liability under applicable securities laws.</w:t>
      </w:r>
      <w:proofErr w:type="gramEnd"/>
      <w:r w:rsidR="00DC0B23" w:rsidRPr="009F6816">
        <w:rPr>
          <w:sz w:val="20"/>
          <w:szCs w:val="20"/>
        </w:rPr>
        <w:t xml:space="preserve"> </w:t>
      </w:r>
      <w:r w:rsidRPr="009F6816">
        <w:rPr>
          <w:sz w:val="20"/>
          <w:szCs w:val="20"/>
        </w:rPr>
        <w:t xml:space="preserve">You could be subject to severe legal penalties and disciplinary action by the Company for any conduct prohibited by this </w:t>
      </w:r>
      <w:r w:rsidR="00B9448A" w:rsidRPr="009F6816">
        <w:rPr>
          <w:sz w:val="20"/>
          <w:szCs w:val="20"/>
        </w:rPr>
        <w:t>P</w:t>
      </w:r>
      <w:r w:rsidR="00D44070" w:rsidRPr="009F6816">
        <w:rPr>
          <w:sz w:val="20"/>
          <w:szCs w:val="20"/>
        </w:rPr>
        <w:t>olicy</w:t>
      </w:r>
      <w:r w:rsidRPr="009F6816">
        <w:rPr>
          <w:sz w:val="20"/>
          <w:szCs w:val="20"/>
        </w:rPr>
        <w:t xml:space="preserve"> or applicable securities laws, as described </w:t>
      </w:r>
      <w:r w:rsidR="00CB5E63" w:rsidRPr="009F6816">
        <w:rPr>
          <w:sz w:val="20"/>
          <w:szCs w:val="20"/>
        </w:rPr>
        <w:t xml:space="preserve">above </w:t>
      </w:r>
      <w:r w:rsidRPr="009F6816">
        <w:rPr>
          <w:sz w:val="20"/>
          <w:szCs w:val="20"/>
        </w:rPr>
        <w:t xml:space="preserve">in more detail under the heading </w:t>
      </w:r>
      <w:r w:rsidR="008F34DE" w:rsidRPr="009F6816">
        <w:rPr>
          <w:sz w:val="20"/>
          <w:szCs w:val="20"/>
        </w:rPr>
        <w:t>“</w:t>
      </w:r>
      <w:r w:rsidRPr="009F6816">
        <w:rPr>
          <w:sz w:val="20"/>
          <w:szCs w:val="20"/>
        </w:rPr>
        <w:t>The Consequences of Insider Trading.</w:t>
      </w:r>
      <w:r w:rsidR="008F34DE" w:rsidRPr="009F6816">
        <w:rPr>
          <w:sz w:val="20"/>
          <w:szCs w:val="20"/>
        </w:rPr>
        <w:t>”</w:t>
      </w:r>
    </w:p>
    <w:p w:rsidR="004260D1" w:rsidRPr="009F6816" w:rsidRDefault="00E20A7F" w:rsidP="00FE53FA">
      <w:pPr>
        <w:pStyle w:val="ListParagraph"/>
        <w:keepNext/>
        <w:keepLines/>
        <w:numPr>
          <w:ilvl w:val="0"/>
          <w:numId w:val="43"/>
        </w:numPr>
        <w:tabs>
          <w:tab w:val="left" w:pos="720"/>
          <w:tab w:val="left" w:pos="1350"/>
          <w:tab w:val="left" w:pos="2160"/>
          <w:tab w:val="left" w:pos="5040"/>
        </w:tabs>
        <w:spacing w:after="240"/>
        <w:ind w:left="720"/>
        <w:rPr>
          <w:rFonts w:ascii="Times New Roman Bold" w:hAnsi="Times New Roman Bold"/>
          <w:b/>
          <w:caps/>
          <w:sz w:val="20"/>
          <w:szCs w:val="20"/>
          <w:u w:val="single"/>
        </w:rPr>
      </w:pPr>
      <w:r w:rsidRPr="009F6816">
        <w:rPr>
          <w:rFonts w:ascii="Times New Roman Bold" w:hAnsi="Times New Roman Bold"/>
          <w:b/>
          <w:caps/>
          <w:sz w:val="20"/>
          <w:szCs w:val="20"/>
          <w:u w:val="single"/>
        </w:rPr>
        <w:t>Transactions</w:t>
      </w:r>
      <w:r w:rsidR="00FA55A2" w:rsidRPr="009F6816">
        <w:rPr>
          <w:rFonts w:ascii="Times New Roman Bold" w:hAnsi="Times New Roman Bold"/>
          <w:b/>
          <w:caps/>
          <w:sz w:val="20"/>
          <w:szCs w:val="20"/>
          <w:u w:val="single"/>
        </w:rPr>
        <w:t xml:space="preserve"> </w:t>
      </w:r>
      <w:r w:rsidR="004260D1" w:rsidRPr="009F6816">
        <w:rPr>
          <w:rFonts w:ascii="Times New Roman Bold" w:hAnsi="Times New Roman Bold"/>
          <w:b/>
          <w:caps/>
          <w:sz w:val="20"/>
          <w:szCs w:val="20"/>
          <w:u w:val="single"/>
        </w:rPr>
        <w:t>Covered by th</w:t>
      </w:r>
      <w:r w:rsidR="00B9448A" w:rsidRPr="009F6816">
        <w:rPr>
          <w:rFonts w:ascii="Times New Roman Bold" w:hAnsi="Times New Roman Bold"/>
          <w:b/>
          <w:caps/>
          <w:sz w:val="20"/>
          <w:szCs w:val="20"/>
          <w:u w:val="single"/>
        </w:rPr>
        <w:t>IS</w:t>
      </w:r>
      <w:r w:rsidR="004260D1" w:rsidRPr="009F6816">
        <w:rPr>
          <w:rFonts w:ascii="Times New Roman Bold" w:hAnsi="Times New Roman Bold"/>
          <w:b/>
          <w:caps/>
          <w:sz w:val="20"/>
          <w:szCs w:val="20"/>
          <w:u w:val="single"/>
        </w:rPr>
        <w:t xml:space="preserve"> Policy</w:t>
      </w:r>
    </w:p>
    <w:p w:rsidR="004260D1" w:rsidRPr="009F6816" w:rsidRDefault="0032446E" w:rsidP="0032446E">
      <w:pPr>
        <w:pStyle w:val="BTF1"/>
        <w:keepNext/>
        <w:keepLines/>
        <w:rPr>
          <w:sz w:val="20"/>
          <w:szCs w:val="20"/>
        </w:rPr>
      </w:pPr>
      <w:proofErr w:type="gramStart"/>
      <w:r w:rsidRPr="009F6816">
        <w:rPr>
          <w:sz w:val="20"/>
          <w:szCs w:val="20"/>
        </w:rPr>
        <w:t>The</w:t>
      </w:r>
      <w:r w:rsidR="00E20A7F" w:rsidRPr="009F6816">
        <w:rPr>
          <w:sz w:val="20"/>
          <w:szCs w:val="20"/>
        </w:rPr>
        <w:t xml:space="preserve"> </w:t>
      </w:r>
      <w:r w:rsidRPr="009F6816">
        <w:rPr>
          <w:sz w:val="20"/>
          <w:szCs w:val="20"/>
        </w:rPr>
        <w:t xml:space="preserve">trading covered by this </w:t>
      </w:r>
      <w:r w:rsidR="00B9448A" w:rsidRPr="009F6816">
        <w:rPr>
          <w:sz w:val="20"/>
          <w:szCs w:val="20"/>
        </w:rPr>
        <w:t>P</w:t>
      </w:r>
      <w:r w:rsidR="00E20A7F" w:rsidRPr="009F6816">
        <w:rPr>
          <w:sz w:val="20"/>
          <w:szCs w:val="20"/>
        </w:rPr>
        <w:t xml:space="preserve">olicy </w:t>
      </w:r>
      <w:r w:rsidRPr="009F6816">
        <w:rPr>
          <w:sz w:val="20"/>
          <w:szCs w:val="20"/>
        </w:rPr>
        <w:t xml:space="preserve">includes </w:t>
      </w:r>
      <w:r w:rsidR="00E20A7F" w:rsidRPr="009F6816">
        <w:rPr>
          <w:sz w:val="20"/>
          <w:szCs w:val="20"/>
        </w:rPr>
        <w:t xml:space="preserve">all types of transactions </w:t>
      </w:r>
      <w:r w:rsidR="00584C93" w:rsidRPr="009F6816">
        <w:rPr>
          <w:sz w:val="20"/>
          <w:szCs w:val="20"/>
        </w:rPr>
        <w:t xml:space="preserve">and </w:t>
      </w:r>
      <w:r w:rsidR="00E20A7F" w:rsidRPr="009F6816">
        <w:rPr>
          <w:sz w:val="20"/>
          <w:szCs w:val="20"/>
        </w:rPr>
        <w:t>securities,</w:t>
      </w:r>
      <w:r w:rsidR="004260D1" w:rsidRPr="009F6816">
        <w:rPr>
          <w:sz w:val="20"/>
          <w:szCs w:val="20"/>
        </w:rPr>
        <w:t xml:space="preserve"> including </w:t>
      </w:r>
      <w:r w:rsidR="008D1369" w:rsidRPr="009F6816">
        <w:rPr>
          <w:sz w:val="20"/>
          <w:szCs w:val="20"/>
        </w:rPr>
        <w:t>ordinary shares</w:t>
      </w:r>
      <w:r w:rsidR="004260D1" w:rsidRPr="009F6816">
        <w:rPr>
          <w:sz w:val="20"/>
          <w:szCs w:val="20"/>
        </w:rPr>
        <w:t xml:space="preserve">, options or warrants to purchase </w:t>
      </w:r>
      <w:r w:rsidR="008D1369" w:rsidRPr="009F6816">
        <w:rPr>
          <w:sz w:val="20"/>
          <w:szCs w:val="20"/>
        </w:rPr>
        <w:t>ordinary shares</w:t>
      </w:r>
      <w:r w:rsidR="004260D1" w:rsidRPr="009F6816">
        <w:rPr>
          <w:sz w:val="20"/>
          <w:szCs w:val="20"/>
        </w:rPr>
        <w:t>, or any other type of securities, including (but not limited to) p</w:t>
      </w:r>
      <w:r w:rsidR="008D1369" w:rsidRPr="009F6816">
        <w:rPr>
          <w:sz w:val="20"/>
          <w:szCs w:val="20"/>
        </w:rPr>
        <w:t>reference shares</w:t>
      </w:r>
      <w:r w:rsidR="004260D1" w:rsidRPr="009F6816">
        <w:rPr>
          <w:sz w:val="20"/>
          <w:szCs w:val="20"/>
        </w:rPr>
        <w:t>, convertible debentures, as well as derivative securities that are issued by third parties, such as exchange-traded put or call options or swaps relating to securities of the Company or another company with respect to which an Insider possesses Inside Information.</w:t>
      </w:r>
      <w:proofErr w:type="gramEnd"/>
    </w:p>
    <w:p w:rsidR="000C6C6B" w:rsidRPr="009F6816" w:rsidRDefault="000C6C6B" w:rsidP="00621AD9">
      <w:pPr>
        <w:pStyle w:val="ListParagraph"/>
        <w:keepNext/>
        <w:keepLines/>
        <w:numPr>
          <w:ilvl w:val="0"/>
          <w:numId w:val="43"/>
        </w:numPr>
        <w:tabs>
          <w:tab w:val="left" w:pos="720"/>
          <w:tab w:val="left" w:pos="1260"/>
          <w:tab w:val="left" w:pos="1350"/>
          <w:tab w:val="left" w:pos="2160"/>
          <w:tab w:val="left" w:pos="5040"/>
        </w:tabs>
        <w:ind w:left="720"/>
        <w:rPr>
          <w:rFonts w:ascii="Times New Roman Bold" w:hAnsi="Times New Roman Bold"/>
          <w:b/>
          <w:caps/>
          <w:sz w:val="20"/>
          <w:szCs w:val="20"/>
        </w:rPr>
      </w:pPr>
      <w:r w:rsidRPr="009F6816">
        <w:rPr>
          <w:rFonts w:ascii="Times New Roman Bold" w:hAnsi="Times New Roman Bold"/>
          <w:b/>
          <w:caps/>
          <w:sz w:val="20"/>
          <w:szCs w:val="20"/>
          <w:u w:val="single"/>
        </w:rPr>
        <w:t>What is Material Non-Public Information?</w:t>
      </w:r>
    </w:p>
    <w:p w:rsidR="009833E4" w:rsidRPr="009F6816" w:rsidRDefault="009833E4" w:rsidP="000C6C6B">
      <w:pPr>
        <w:keepNext/>
        <w:keepLines/>
        <w:tabs>
          <w:tab w:val="left" w:pos="720"/>
          <w:tab w:val="left" w:pos="1440"/>
          <w:tab w:val="left" w:pos="2160"/>
          <w:tab w:val="left" w:pos="5040"/>
        </w:tabs>
        <w:rPr>
          <w:b/>
          <w:sz w:val="20"/>
          <w:szCs w:val="20"/>
        </w:rPr>
      </w:pPr>
    </w:p>
    <w:p w:rsidR="000C6C6B" w:rsidRPr="009F6816" w:rsidRDefault="000C6C6B" w:rsidP="000C6C6B">
      <w:pPr>
        <w:pStyle w:val="BTF1"/>
        <w:rPr>
          <w:sz w:val="20"/>
          <w:szCs w:val="20"/>
        </w:rPr>
      </w:pPr>
      <w:r w:rsidRPr="009F6816">
        <w:rPr>
          <w:b/>
          <w:i/>
          <w:sz w:val="20"/>
          <w:szCs w:val="20"/>
        </w:rPr>
        <w:t>Material information</w:t>
      </w:r>
      <w:r w:rsidRPr="009F6816">
        <w:rPr>
          <w:sz w:val="20"/>
          <w:szCs w:val="20"/>
        </w:rPr>
        <w:t xml:space="preserve"> is any information that a reasonable investor would consider important in arriving at a decision to buy, sell or hold the </w:t>
      </w:r>
      <w:r w:rsidR="00CB5E63" w:rsidRPr="009F6816">
        <w:rPr>
          <w:sz w:val="20"/>
          <w:szCs w:val="20"/>
        </w:rPr>
        <w:t xml:space="preserve">securities </w:t>
      </w:r>
      <w:r w:rsidRPr="009F6816">
        <w:rPr>
          <w:sz w:val="20"/>
          <w:szCs w:val="20"/>
        </w:rPr>
        <w:t>of a company and/or would view its disclosure as significantly altering the total mix of information otherwise made available.</w:t>
      </w:r>
    </w:p>
    <w:p w:rsidR="000C6C6B" w:rsidRPr="009F6816" w:rsidRDefault="000C6C6B" w:rsidP="000C6C6B">
      <w:pPr>
        <w:pStyle w:val="BTF1"/>
        <w:keepNext/>
        <w:rPr>
          <w:sz w:val="20"/>
          <w:szCs w:val="20"/>
        </w:rPr>
      </w:pPr>
      <w:r w:rsidRPr="009F6816">
        <w:rPr>
          <w:b/>
          <w:i/>
          <w:sz w:val="20"/>
          <w:szCs w:val="20"/>
        </w:rPr>
        <w:t>Non-Public information</w:t>
      </w:r>
      <w:r w:rsidRPr="009F6816">
        <w:rPr>
          <w:sz w:val="20"/>
          <w:szCs w:val="20"/>
        </w:rPr>
        <w:t xml:space="preserve"> is information that </w:t>
      </w:r>
      <w:proofErr w:type="gramStart"/>
      <w:r w:rsidRPr="009F6816">
        <w:rPr>
          <w:sz w:val="20"/>
          <w:szCs w:val="20"/>
        </w:rPr>
        <w:t>is not generally known</w:t>
      </w:r>
      <w:proofErr w:type="gramEnd"/>
      <w:r w:rsidRPr="009F6816">
        <w:rPr>
          <w:sz w:val="20"/>
          <w:szCs w:val="20"/>
        </w:rPr>
        <w:t xml:space="preserve"> to the public.</w:t>
      </w:r>
    </w:p>
    <w:p w:rsidR="000C6C6B" w:rsidRPr="009F6816" w:rsidRDefault="000C6C6B" w:rsidP="000C6C6B">
      <w:pPr>
        <w:pStyle w:val="BTF1"/>
        <w:keepNext/>
        <w:rPr>
          <w:sz w:val="20"/>
          <w:szCs w:val="20"/>
        </w:rPr>
      </w:pPr>
      <w:r w:rsidRPr="009F6816">
        <w:rPr>
          <w:sz w:val="20"/>
          <w:szCs w:val="20"/>
          <w:u w:val="single"/>
        </w:rPr>
        <w:t>Examples</w:t>
      </w:r>
      <w:r w:rsidRPr="009F6816">
        <w:rPr>
          <w:sz w:val="20"/>
          <w:szCs w:val="20"/>
        </w:rPr>
        <w:t>.</w:t>
      </w:r>
      <w:r w:rsidR="00DC0B23" w:rsidRPr="009F6816">
        <w:rPr>
          <w:sz w:val="20"/>
          <w:szCs w:val="20"/>
        </w:rPr>
        <w:t xml:space="preserve"> </w:t>
      </w:r>
      <w:r w:rsidRPr="009F6816">
        <w:rPr>
          <w:sz w:val="20"/>
          <w:szCs w:val="20"/>
        </w:rPr>
        <w:t xml:space="preserve">Examples of non-public information that </w:t>
      </w:r>
      <w:r w:rsidR="00CB5E63" w:rsidRPr="009F6816">
        <w:rPr>
          <w:sz w:val="20"/>
          <w:szCs w:val="20"/>
        </w:rPr>
        <w:t xml:space="preserve">generally </w:t>
      </w:r>
      <w:proofErr w:type="gramStart"/>
      <w:r w:rsidR="00CB5E63" w:rsidRPr="009F6816">
        <w:rPr>
          <w:sz w:val="20"/>
          <w:szCs w:val="20"/>
        </w:rPr>
        <w:t xml:space="preserve">would </w:t>
      </w:r>
      <w:r w:rsidRPr="009F6816">
        <w:rPr>
          <w:sz w:val="20"/>
          <w:szCs w:val="20"/>
        </w:rPr>
        <w:t>be regarded</w:t>
      </w:r>
      <w:proofErr w:type="gramEnd"/>
      <w:r w:rsidRPr="009F6816">
        <w:rPr>
          <w:sz w:val="20"/>
          <w:szCs w:val="20"/>
        </w:rPr>
        <w:t xml:space="preserve"> as material and thus Inside Information include:</w:t>
      </w:r>
    </w:p>
    <w:p w:rsidR="000C6C6B" w:rsidRPr="009F6816" w:rsidRDefault="000C6C6B" w:rsidP="00621AD9">
      <w:pPr>
        <w:pStyle w:val="ListBullet2"/>
        <w:tabs>
          <w:tab w:val="clear" w:pos="1440"/>
          <w:tab w:val="left" w:pos="1260"/>
        </w:tabs>
        <w:ind w:left="1080" w:hanging="360"/>
        <w:rPr>
          <w:sz w:val="20"/>
          <w:szCs w:val="20"/>
        </w:rPr>
      </w:pPr>
      <w:r w:rsidRPr="009F6816">
        <w:rPr>
          <w:sz w:val="20"/>
          <w:szCs w:val="20"/>
        </w:rPr>
        <w:t>financial information</w:t>
      </w:r>
      <w:r w:rsidR="00B9448A" w:rsidRPr="009F6816">
        <w:rPr>
          <w:sz w:val="20"/>
          <w:szCs w:val="20"/>
        </w:rPr>
        <w:t>,</w:t>
      </w:r>
      <w:r w:rsidRPr="009F6816">
        <w:rPr>
          <w:sz w:val="20"/>
          <w:szCs w:val="20"/>
        </w:rPr>
        <w:t xml:space="preserve"> such as revenues, expenses, earnings, new sales or investment returns;</w:t>
      </w:r>
    </w:p>
    <w:p w:rsidR="009833E4" w:rsidRPr="009F6816" w:rsidRDefault="000C6C6B" w:rsidP="00621AD9">
      <w:pPr>
        <w:pStyle w:val="ListBullet2"/>
        <w:tabs>
          <w:tab w:val="clear" w:pos="1440"/>
          <w:tab w:val="left" w:pos="1260"/>
        </w:tabs>
        <w:ind w:left="1080" w:hanging="360"/>
        <w:rPr>
          <w:sz w:val="20"/>
          <w:szCs w:val="20"/>
        </w:rPr>
      </w:pPr>
      <w:r w:rsidRPr="009F6816">
        <w:rPr>
          <w:sz w:val="20"/>
          <w:szCs w:val="20"/>
        </w:rPr>
        <w:t>information about a transaction that will affect the financial condition or performance of the company</w:t>
      </w:r>
      <w:r w:rsidR="004C5925" w:rsidRPr="009F6816">
        <w:rPr>
          <w:sz w:val="20"/>
          <w:szCs w:val="20"/>
        </w:rPr>
        <w:t xml:space="preserve"> in a significant manner</w:t>
      </w:r>
      <w:r w:rsidR="009833E4" w:rsidRPr="009F6816">
        <w:rPr>
          <w:sz w:val="20"/>
          <w:szCs w:val="20"/>
        </w:rPr>
        <w:t xml:space="preserve">, such as </w:t>
      </w:r>
      <w:r w:rsidRPr="009F6816">
        <w:rPr>
          <w:sz w:val="20"/>
          <w:szCs w:val="20"/>
        </w:rPr>
        <w:t>a pending or proposed merger, acquisition</w:t>
      </w:r>
      <w:r w:rsidR="009833E4" w:rsidRPr="009F6816">
        <w:rPr>
          <w:sz w:val="20"/>
          <w:szCs w:val="20"/>
        </w:rPr>
        <w:t>,</w:t>
      </w:r>
      <w:r w:rsidRPr="009F6816">
        <w:rPr>
          <w:sz w:val="20"/>
          <w:szCs w:val="20"/>
        </w:rPr>
        <w:t xml:space="preserve"> tender offer</w:t>
      </w:r>
      <w:r w:rsidR="009833E4" w:rsidRPr="009F6816">
        <w:rPr>
          <w:sz w:val="20"/>
          <w:szCs w:val="20"/>
        </w:rPr>
        <w:t>, sale of assets, or disposition of a subsidiary, or entering into or terminating a significant contract</w:t>
      </w:r>
      <w:r w:rsidRPr="009F6816">
        <w:rPr>
          <w:sz w:val="20"/>
          <w:szCs w:val="20"/>
        </w:rPr>
        <w:t>;</w:t>
      </w:r>
    </w:p>
    <w:p w:rsidR="000C6C6B" w:rsidRPr="009F6816" w:rsidRDefault="000C6C6B" w:rsidP="00621AD9">
      <w:pPr>
        <w:pStyle w:val="ListBullet2"/>
        <w:tabs>
          <w:tab w:val="clear" w:pos="1440"/>
          <w:tab w:val="left" w:pos="1260"/>
        </w:tabs>
        <w:ind w:left="1080" w:hanging="360"/>
        <w:rPr>
          <w:sz w:val="20"/>
          <w:szCs w:val="20"/>
        </w:rPr>
      </w:pPr>
      <w:r w:rsidRPr="009F6816">
        <w:rPr>
          <w:sz w:val="20"/>
          <w:szCs w:val="20"/>
        </w:rPr>
        <w:t>earnings estimates;</w:t>
      </w:r>
    </w:p>
    <w:p w:rsidR="000C6C6B" w:rsidRPr="009F6816" w:rsidRDefault="000C6C6B" w:rsidP="00621AD9">
      <w:pPr>
        <w:pStyle w:val="ListBullet2"/>
        <w:tabs>
          <w:tab w:val="clear" w:pos="1440"/>
          <w:tab w:val="left" w:pos="1260"/>
        </w:tabs>
        <w:ind w:left="1080" w:hanging="360"/>
        <w:rPr>
          <w:sz w:val="20"/>
          <w:szCs w:val="20"/>
        </w:rPr>
      </w:pPr>
      <w:r w:rsidRPr="009F6816">
        <w:rPr>
          <w:sz w:val="20"/>
          <w:szCs w:val="20"/>
        </w:rPr>
        <w:t xml:space="preserve">a </w:t>
      </w:r>
      <w:r w:rsidR="008D1369" w:rsidRPr="009F6816">
        <w:rPr>
          <w:sz w:val="20"/>
          <w:szCs w:val="20"/>
        </w:rPr>
        <w:t>share</w:t>
      </w:r>
      <w:r w:rsidRPr="009F6816">
        <w:rPr>
          <w:sz w:val="20"/>
          <w:szCs w:val="20"/>
        </w:rPr>
        <w:t xml:space="preserve"> split or the offering of additional securities; </w:t>
      </w:r>
    </w:p>
    <w:p w:rsidR="00CB5E63" w:rsidRPr="009F6816" w:rsidRDefault="00CB5E63" w:rsidP="00621AD9">
      <w:pPr>
        <w:pStyle w:val="ListBullet2"/>
        <w:tabs>
          <w:tab w:val="clear" w:pos="1440"/>
          <w:tab w:val="left" w:pos="1260"/>
        </w:tabs>
        <w:ind w:left="1080" w:hanging="360"/>
        <w:rPr>
          <w:sz w:val="20"/>
          <w:szCs w:val="20"/>
        </w:rPr>
      </w:pPr>
      <w:r w:rsidRPr="009F6816">
        <w:rPr>
          <w:sz w:val="20"/>
          <w:szCs w:val="20"/>
        </w:rPr>
        <w:t>major litigation;</w:t>
      </w:r>
    </w:p>
    <w:p w:rsidR="00A82716" w:rsidRPr="009F6816" w:rsidRDefault="000C6C6B" w:rsidP="00621AD9">
      <w:pPr>
        <w:pStyle w:val="ListBullet2"/>
        <w:tabs>
          <w:tab w:val="clear" w:pos="1440"/>
          <w:tab w:val="left" w:pos="1260"/>
        </w:tabs>
        <w:ind w:left="1080" w:hanging="360"/>
        <w:rPr>
          <w:sz w:val="20"/>
          <w:szCs w:val="20"/>
        </w:rPr>
      </w:pPr>
      <w:r w:rsidRPr="009F6816">
        <w:rPr>
          <w:sz w:val="20"/>
          <w:szCs w:val="20"/>
        </w:rPr>
        <w:t xml:space="preserve">changes in </w:t>
      </w:r>
      <w:r w:rsidR="00CB5E63" w:rsidRPr="009F6816">
        <w:rPr>
          <w:sz w:val="20"/>
          <w:szCs w:val="20"/>
        </w:rPr>
        <w:t xml:space="preserve">senior </w:t>
      </w:r>
      <w:r w:rsidRPr="009F6816">
        <w:rPr>
          <w:sz w:val="20"/>
          <w:szCs w:val="20"/>
        </w:rPr>
        <w:t>management;</w:t>
      </w:r>
    </w:p>
    <w:p w:rsidR="00A82716" w:rsidRPr="009F6816" w:rsidRDefault="00CB5E63" w:rsidP="00621AD9">
      <w:pPr>
        <w:pStyle w:val="ListBullet2"/>
        <w:tabs>
          <w:tab w:val="clear" w:pos="1440"/>
          <w:tab w:val="left" w:pos="1260"/>
        </w:tabs>
        <w:ind w:left="1080" w:hanging="360"/>
        <w:rPr>
          <w:sz w:val="20"/>
          <w:szCs w:val="20"/>
        </w:rPr>
      </w:pPr>
      <w:r w:rsidRPr="009F6816">
        <w:rPr>
          <w:sz w:val="20"/>
          <w:szCs w:val="20"/>
        </w:rPr>
        <w:t xml:space="preserve">major </w:t>
      </w:r>
      <w:r w:rsidR="000C6C6B" w:rsidRPr="009F6816">
        <w:rPr>
          <w:sz w:val="20"/>
          <w:szCs w:val="20"/>
        </w:rPr>
        <w:t>new products; and</w:t>
      </w:r>
    </w:p>
    <w:p w:rsidR="000C6C6B" w:rsidRPr="009F6816" w:rsidRDefault="000C6C6B" w:rsidP="00621AD9">
      <w:pPr>
        <w:pStyle w:val="ListBullet2"/>
        <w:tabs>
          <w:tab w:val="clear" w:pos="1440"/>
          <w:tab w:val="left" w:pos="1260"/>
        </w:tabs>
        <w:ind w:left="1080" w:hanging="360"/>
        <w:rPr>
          <w:sz w:val="20"/>
          <w:szCs w:val="20"/>
        </w:rPr>
      </w:pPr>
      <w:proofErr w:type="gramStart"/>
      <w:r w:rsidRPr="009F6816">
        <w:rPr>
          <w:sz w:val="20"/>
          <w:szCs w:val="20"/>
        </w:rPr>
        <w:t>the</w:t>
      </w:r>
      <w:proofErr w:type="gramEnd"/>
      <w:r w:rsidRPr="009F6816">
        <w:rPr>
          <w:sz w:val="20"/>
          <w:szCs w:val="20"/>
        </w:rPr>
        <w:t xml:space="preserve"> gain or loss of a substantial customer.</w:t>
      </w:r>
    </w:p>
    <w:p w:rsidR="000C6C6B" w:rsidRPr="009F6816" w:rsidRDefault="000C6C6B" w:rsidP="000C6C6B">
      <w:pPr>
        <w:pStyle w:val="BTF1"/>
        <w:rPr>
          <w:sz w:val="20"/>
          <w:szCs w:val="20"/>
        </w:rPr>
      </w:pPr>
      <w:r w:rsidRPr="009F6816">
        <w:rPr>
          <w:sz w:val="20"/>
          <w:szCs w:val="20"/>
        </w:rPr>
        <w:t>Either positive or negative information may be material.</w:t>
      </w:r>
      <w:r w:rsidR="00DC0B23" w:rsidRPr="009F6816">
        <w:rPr>
          <w:sz w:val="20"/>
          <w:szCs w:val="20"/>
        </w:rPr>
        <w:t xml:space="preserve"> </w:t>
      </w:r>
      <w:r w:rsidRPr="009F6816">
        <w:rPr>
          <w:sz w:val="20"/>
          <w:szCs w:val="20"/>
        </w:rPr>
        <w:t>The foregoing list is not exhaustive; other types of information may be material at any particular time, depending upon all the circumstances.</w:t>
      </w:r>
    </w:p>
    <w:p w:rsidR="000C6C6B" w:rsidRPr="009F6816" w:rsidRDefault="000C6C6B" w:rsidP="009D0224">
      <w:pPr>
        <w:pStyle w:val="ListParagraph"/>
        <w:keepNext/>
        <w:keepLines/>
        <w:numPr>
          <w:ilvl w:val="0"/>
          <w:numId w:val="43"/>
        </w:numPr>
        <w:tabs>
          <w:tab w:val="left" w:pos="720"/>
          <w:tab w:val="left" w:pos="1260"/>
          <w:tab w:val="left" w:pos="2160"/>
          <w:tab w:val="left" w:pos="5040"/>
        </w:tabs>
        <w:ind w:left="720"/>
        <w:rPr>
          <w:rFonts w:ascii="Times New Roman Bold" w:hAnsi="Times New Roman Bold"/>
          <w:caps/>
          <w:sz w:val="20"/>
          <w:szCs w:val="20"/>
        </w:rPr>
      </w:pPr>
      <w:r w:rsidRPr="009F6816">
        <w:rPr>
          <w:rFonts w:ascii="Times New Roman Bold" w:hAnsi="Times New Roman Bold"/>
          <w:b/>
          <w:caps/>
          <w:sz w:val="20"/>
          <w:szCs w:val="20"/>
          <w:u w:val="single"/>
        </w:rPr>
        <w:t>Trading</w:t>
      </w:r>
    </w:p>
    <w:p w:rsidR="000C6C6B" w:rsidRPr="009F6816" w:rsidRDefault="000C6C6B" w:rsidP="0032446E">
      <w:pPr>
        <w:keepNext/>
        <w:keepLines/>
        <w:tabs>
          <w:tab w:val="left" w:pos="720"/>
          <w:tab w:val="left" w:pos="1440"/>
          <w:tab w:val="left" w:pos="2160"/>
          <w:tab w:val="left" w:pos="5040"/>
        </w:tabs>
        <w:rPr>
          <w:sz w:val="20"/>
          <w:szCs w:val="20"/>
        </w:rPr>
      </w:pPr>
    </w:p>
    <w:p w:rsidR="000C6C6B" w:rsidRPr="009F6816" w:rsidRDefault="00B9448A" w:rsidP="0032446E">
      <w:pPr>
        <w:pStyle w:val="BTF1"/>
        <w:keepNext/>
        <w:keepLines/>
        <w:rPr>
          <w:sz w:val="20"/>
          <w:szCs w:val="20"/>
        </w:rPr>
      </w:pPr>
      <w:r w:rsidRPr="009F6816">
        <w:rPr>
          <w:sz w:val="20"/>
          <w:szCs w:val="20"/>
        </w:rPr>
        <w:t>This</w:t>
      </w:r>
      <w:r w:rsidR="000C6C6B" w:rsidRPr="009F6816">
        <w:rPr>
          <w:sz w:val="20"/>
          <w:szCs w:val="20"/>
        </w:rPr>
        <w:t xml:space="preserve"> </w:t>
      </w:r>
      <w:r w:rsidRPr="009F6816">
        <w:rPr>
          <w:sz w:val="20"/>
          <w:szCs w:val="20"/>
        </w:rPr>
        <w:t>P</w:t>
      </w:r>
      <w:r w:rsidR="000C6C6B" w:rsidRPr="009F6816">
        <w:rPr>
          <w:sz w:val="20"/>
          <w:szCs w:val="20"/>
        </w:rPr>
        <w:t xml:space="preserve">olicy permits an Insider to trade securities </w:t>
      </w:r>
      <w:r w:rsidR="00CB5E63" w:rsidRPr="009F6816">
        <w:rPr>
          <w:sz w:val="20"/>
          <w:szCs w:val="20"/>
        </w:rPr>
        <w:t xml:space="preserve">beginning at the close of regular trading on the </w:t>
      </w:r>
      <w:r w:rsidR="0072381B" w:rsidRPr="009F6816">
        <w:rPr>
          <w:sz w:val="20"/>
          <w:szCs w:val="20"/>
        </w:rPr>
        <w:t>second</w:t>
      </w:r>
      <w:r w:rsidR="00CB5E63" w:rsidRPr="009F6816">
        <w:rPr>
          <w:sz w:val="20"/>
          <w:szCs w:val="20"/>
        </w:rPr>
        <w:t xml:space="preserve"> </w:t>
      </w:r>
      <w:r w:rsidR="000C6C6B" w:rsidRPr="009F6816">
        <w:rPr>
          <w:sz w:val="20"/>
          <w:szCs w:val="20"/>
        </w:rPr>
        <w:t xml:space="preserve">full </w:t>
      </w:r>
      <w:r w:rsidR="0041761F" w:rsidRPr="009F6816">
        <w:rPr>
          <w:sz w:val="20"/>
          <w:szCs w:val="20"/>
        </w:rPr>
        <w:t>T</w:t>
      </w:r>
      <w:r w:rsidR="000C6C6B" w:rsidRPr="009F6816">
        <w:rPr>
          <w:sz w:val="20"/>
          <w:szCs w:val="20"/>
        </w:rPr>
        <w:t xml:space="preserve">rading </w:t>
      </w:r>
      <w:r w:rsidR="0041761F" w:rsidRPr="009F6816">
        <w:rPr>
          <w:sz w:val="20"/>
          <w:szCs w:val="20"/>
        </w:rPr>
        <w:t>D</w:t>
      </w:r>
      <w:r w:rsidR="000C6C6B" w:rsidRPr="009F6816">
        <w:rPr>
          <w:sz w:val="20"/>
          <w:szCs w:val="20"/>
        </w:rPr>
        <w:t>ay after all Inside Information has been disclosed to the public through general release to the national news media, which will provide the securities markets a sufficient opportunity to absorb and evaluate the information.</w:t>
      </w:r>
      <w:r w:rsidR="00DC0B23" w:rsidRPr="009F6816">
        <w:rPr>
          <w:sz w:val="20"/>
          <w:szCs w:val="20"/>
        </w:rPr>
        <w:t xml:space="preserve"> </w:t>
      </w:r>
    </w:p>
    <w:p w:rsidR="0041761F" w:rsidRPr="009F6816" w:rsidRDefault="008F34DE" w:rsidP="000C6C6B">
      <w:pPr>
        <w:pStyle w:val="BTF1"/>
        <w:rPr>
          <w:sz w:val="20"/>
          <w:szCs w:val="20"/>
        </w:rPr>
      </w:pPr>
      <w:r w:rsidRPr="009F6816">
        <w:rPr>
          <w:sz w:val="20"/>
          <w:szCs w:val="20"/>
        </w:rPr>
        <w:t>“</w:t>
      </w:r>
      <w:r w:rsidR="0041761F" w:rsidRPr="009F6816">
        <w:rPr>
          <w:b/>
          <w:i/>
          <w:sz w:val="20"/>
          <w:szCs w:val="20"/>
        </w:rPr>
        <w:t xml:space="preserve">Trading </w:t>
      </w:r>
      <w:proofErr w:type="gramStart"/>
      <w:r w:rsidR="0041761F" w:rsidRPr="009F6816">
        <w:rPr>
          <w:b/>
          <w:i/>
          <w:sz w:val="20"/>
          <w:szCs w:val="20"/>
        </w:rPr>
        <w:t>Day</w:t>
      </w:r>
      <w:proofErr w:type="gramEnd"/>
      <w:r w:rsidRPr="009F6816">
        <w:rPr>
          <w:sz w:val="20"/>
          <w:szCs w:val="20"/>
        </w:rPr>
        <w:t>”</w:t>
      </w:r>
      <w:r w:rsidR="0041761F" w:rsidRPr="009F6816">
        <w:rPr>
          <w:sz w:val="20"/>
          <w:szCs w:val="20"/>
        </w:rPr>
        <w:t xml:space="preserve"> means a day on which the principal U.S. </w:t>
      </w:r>
      <w:r w:rsidR="004C5925" w:rsidRPr="009F6816">
        <w:rPr>
          <w:sz w:val="20"/>
          <w:szCs w:val="20"/>
        </w:rPr>
        <w:t>s</w:t>
      </w:r>
      <w:r w:rsidR="0041761F" w:rsidRPr="009F6816">
        <w:rPr>
          <w:sz w:val="20"/>
          <w:szCs w:val="20"/>
        </w:rPr>
        <w:t xml:space="preserve">tock </w:t>
      </w:r>
      <w:r w:rsidR="004C5925" w:rsidRPr="009F6816">
        <w:rPr>
          <w:sz w:val="20"/>
          <w:szCs w:val="20"/>
        </w:rPr>
        <w:t>e</w:t>
      </w:r>
      <w:r w:rsidR="0041761F" w:rsidRPr="009F6816">
        <w:rPr>
          <w:sz w:val="20"/>
          <w:szCs w:val="20"/>
        </w:rPr>
        <w:t xml:space="preserve">xchange on which shares </w:t>
      </w:r>
      <w:r w:rsidR="00D22356" w:rsidRPr="009F6816">
        <w:rPr>
          <w:sz w:val="20"/>
          <w:szCs w:val="20"/>
        </w:rPr>
        <w:t xml:space="preserve">of </w:t>
      </w:r>
      <w:r w:rsidR="004C5925" w:rsidRPr="009F6816">
        <w:rPr>
          <w:sz w:val="20"/>
          <w:szCs w:val="20"/>
        </w:rPr>
        <w:t xml:space="preserve">the </w:t>
      </w:r>
      <w:r w:rsidR="00D22356" w:rsidRPr="009F6816">
        <w:rPr>
          <w:sz w:val="20"/>
          <w:szCs w:val="20"/>
        </w:rPr>
        <w:t>Company</w:t>
      </w:r>
      <w:r w:rsidRPr="009F6816">
        <w:rPr>
          <w:sz w:val="20"/>
          <w:szCs w:val="20"/>
        </w:rPr>
        <w:t>’</w:t>
      </w:r>
      <w:r w:rsidR="00D22356" w:rsidRPr="009F6816">
        <w:rPr>
          <w:sz w:val="20"/>
          <w:szCs w:val="20"/>
        </w:rPr>
        <w:t xml:space="preserve">s </w:t>
      </w:r>
      <w:r w:rsidR="008A6F59" w:rsidRPr="009F6816">
        <w:rPr>
          <w:sz w:val="20"/>
          <w:szCs w:val="20"/>
        </w:rPr>
        <w:t>ordinary share</w:t>
      </w:r>
      <w:r w:rsidR="00D22356" w:rsidRPr="009F6816">
        <w:rPr>
          <w:sz w:val="20"/>
          <w:szCs w:val="20"/>
        </w:rPr>
        <w:t xml:space="preserve"> </w:t>
      </w:r>
      <w:r w:rsidR="0080121F" w:rsidRPr="009F6816">
        <w:rPr>
          <w:sz w:val="20"/>
          <w:szCs w:val="20"/>
        </w:rPr>
        <w:t>are</w:t>
      </w:r>
      <w:r w:rsidR="00D22356" w:rsidRPr="009F6816">
        <w:rPr>
          <w:sz w:val="20"/>
          <w:szCs w:val="20"/>
        </w:rPr>
        <w:t xml:space="preserve"> then listed is open for trading.</w:t>
      </w:r>
    </w:p>
    <w:p w:rsidR="004842CB" w:rsidRPr="009F6816" w:rsidRDefault="004842CB" w:rsidP="000C6C6B">
      <w:pPr>
        <w:pStyle w:val="BTF1"/>
        <w:rPr>
          <w:sz w:val="20"/>
          <w:szCs w:val="20"/>
        </w:rPr>
      </w:pPr>
      <w:proofErr w:type="gramStart"/>
      <w:r w:rsidRPr="009F6816">
        <w:rPr>
          <w:sz w:val="20"/>
          <w:szCs w:val="20"/>
        </w:rPr>
        <w:t>For example, if Inside Information (including quarterly or annual earnings) is disclosed at (a) 8:00 a.m.</w:t>
      </w:r>
      <w:r w:rsidR="000D7FE3" w:rsidRPr="009F6816">
        <w:rPr>
          <w:sz w:val="20"/>
          <w:szCs w:val="20"/>
        </w:rPr>
        <w:t>,</w:t>
      </w:r>
      <w:r w:rsidRPr="009F6816">
        <w:rPr>
          <w:sz w:val="20"/>
          <w:szCs w:val="20"/>
        </w:rPr>
        <w:t xml:space="preserve"> Eastern Time</w:t>
      </w:r>
      <w:r w:rsidR="000D7FE3" w:rsidRPr="009F6816">
        <w:rPr>
          <w:sz w:val="20"/>
          <w:szCs w:val="20"/>
        </w:rPr>
        <w:t>,</w:t>
      </w:r>
      <w:r w:rsidRPr="009F6816">
        <w:rPr>
          <w:sz w:val="20"/>
          <w:szCs w:val="20"/>
        </w:rPr>
        <w:t xml:space="preserve"> on a Monday, then </w:t>
      </w:r>
      <w:r w:rsidR="000D7FE3" w:rsidRPr="009F6816">
        <w:rPr>
          <w:sz w:val="20"/>
          <w:szCs w:val="20"/>
        </w:rPr>
        <w:t xml:space="preserve">trading may commence </w:t>
      </w:r>
      <w:r w:rsidRPr="009F6816">
        <w:rPr>
          <w:sz w:val="20"/>
          <w:szCs w:val="20"/>
        </w:rPr>
        <w:t>after 4:00 p.m.</w:t>
      </w:r>
      <w:r w:rsidR="000D7FE3" w:rsidRPr="009F6816">
        <w:rPr>
          <w:sz w:val="20"/>
          <w:szCs w:val="20"/>
        </w:rPr>
        <w:t>,</w:t>
      </w:r>
      <w:r w:rsidRPr="009F6816">
        <w:rPr>
          <w:sz w:val="20"/>
          <w:szCs w:val="20"/>
        </w:rPr>
        <w:t xml:space="preserve"> Eastern Time</w:t>
      </w:r>
      <w:r w:rsidR="000D7FE3" w:rsidRPr="009F6816">
        <w:rPr>
          <w:sz w:val="20"/>
          <w:szCs w:val="20"/>
        </w:rPr>
        <w:t>,</w:t>
      </w:r>
      <w:r w:rsidRPr="009F6816">
        <w:rPr>
          <w:sz w:val="20"/>
          <w:szCs w:val="20"/>
        </w:rPr>
        <w:t xml:space="preserve"> on Tuesday, (b) 10:00 a.m.</w:t>
      </w:r>
      <w:r w:rsidR="000D7FE3" w:rsidRPr="009F6816">
        <w:rPr>
          <w:sz w:val="20"/>
          <w:szCs w:val="20"/>
        </w:rPr>
        <w:t>,</w:t>
      </w:r>
      <w:r w:rsidRPr="009F6816">
        <w:rPr>
          <w:sz w:val="20"/>
          <w:szCs w:val="20"/>
        </w:rPr>
        <w:t xml:space="preserve"> Eastern Time</w:t>
      </w:r>
      <w:r w:rsidR="000D7FE3" w:rsidRPr="009F6816">
        <w:rPr>
          <w:sz w:val="20"/>
          <w:szCs w:val="20"/>
        </w:rPr>
        <w:t>,</w:t>
      </w:r>
      <w:r w:rsidRPr="009F6816">
        <w:rPr>
          <w:sz w:val="20"/>
          <w:szCs w:val="20"/>
        </w:rPr>
        <w:t xml:space="preserve"> on Monday, then </w:t>
      </w:r>
      <w:r w:rsidR="000D7FE3" w:rsidRPr="009F6816">
        <w:rPr>
          <w:sz w:val="20"/>
          <w:szCs w:val="20"/>
        </w:rPr>
        <w:t xml:space="preserve">trading may commence </w:t>
      </w:r>
      <w:r w:rsidRPr="009F6816">
        <w:rPr>
          <w:sz w:val="20"/>
          <w:szCs w:val="20"/>
        </w:rPr>
        <w:t>after 4:00 p.m.</w:t>
      </w:r>
      <w:r w:rsidR="000D7FE3" w:rsidRPr="009F6816">
        <w:rPr>
          <w:sz w:val="20"/>
          <w:szCs w:val="20"/>
        </w:rPr>
        <w:t>,</w:t>
      </w:r>
      <w:r w:rsidRPr="009F6816">
        <w:rPr>
          <w:sz w:val="20"/>
          <w:szCs w:val="20"/>
        </w:rPr>
        <w:t xml:space="preserve"> Eastern Time</w:t>
      </w:r>
      <w:r w:rsidR="000D7FE3" w:rsidRPr="009F6816">
        <w:rPr>
          <w:sz w:val="20"/>
          <w:szCs w:val="20"/>
        </w:rPr>
        <w:t>,</w:t>
      </w:r>
      <w:r w:rsidRPr="009F6816">
        <w:rPr>
          <w:sz w:val="20"/>
          <w:szCs w:val="20"/>
        </w:rPr>
        <w:t xml:space="preserve"> on Wednesday or (c) 5:00 p.m.</w:t>
      </w:r>
      <w:r w:rsidR="000D7FE3" w:rsidRPr="009F6816">
        <w:rPr>
          <w:sz w:val="20"/>
          <w:szCs w:val="20"/>
        </w:rPr>
        <w:t>,</w:t>
      </w:r>
      <w:r w:rsidRPr="009F6816">
        <w:rPr>
          <w:sz w:val="20"/>
          <w:szCs w:val="20"/>
        </w:rPr>
        <w:t xml:space="preserve"> Eastern Time</w:t>
      </w:r>
      <w:r w:rsidR="000D7FE3" w:rsidRPr="009F6816">
        <w:rPr>
          <w:sz w:val="20"/>
          <w:szCs w:val="20"/>
        </w:rPr>
        <w:t>,</w:t>
      </w:r>
      <w:r w:rsidRPr="009F6816">
        <w:rPr>
          <w:sz w:val="20"/>
          <w:szCs w:val="20"/>
        </w:rPr>
        <w:t xml:space="preserve"> on Monday, then </w:t>
      </w:r>
      <w:r w:rsidR="0080121F" w:rsidRPr="009F6816">
        <w:rPr>
          <w:sz w:val="20"/>
          <w:szCs w:val="20"/>
        </w:rPr>
        <w:t>trading may commence</w:t>
      </w:r>
      <w:r w:rsidRPr="009F6816">
        <w:rPr>
          <w:sz w:val="20"/>
          <w:szCs w:val="20"/>
        </w:rPr>
        <w:t xml:space="preserve"> after 4:00 p.m.</w:t>
      </w:r>
      <w:r w:rsidR="000D7FE3" w:rsidRPr="009F6816">
        <w:rPr>
          <w:sz w:val="20"/>
          <w:szCs w:val="20"/>
        </w:rPr>
        <w:t>,</w:t>
      </w:r>
      <w:r w:rsidRPr="009F6816">
        <w:rPr>
          <w:sz w:val="20"/>
          <w:szCs w:val="20"/>
        </w:rPr>
        <w:t xml:space="preserve"> Eastern Time</w:t>
      </w:r>
      <w:r w:rsidR="000D7FE3" w:rsidRPr="009F6816">
        <w:rPr>
          <w:sz w:val="20"/>
          <w:szCs w:val="20"/>
        </w:rPr>
        <w:t>,</w:t>
      </w:r>
      <w:r w:rsidRPr="009F6816">
        <w:rPr>
          <w:sz w:val="20"/>
          <w:szCs w:val="20"/>
        </w:rPr>
        <w:t xml:space="preserve"> on Wednesday.</w:t>
      </w:r>
      <w:proofErr w:type="gramEnd"/>
      <w:r w:rsidR="00DC0B23" w:rsidRPr="009F6816">
        <w:rPr>
          <w:sz w:val="20"/>
          <w:szCs w:val="20"/>
        </w:rPr>
        <w:t xml:space="preserve"> </w:t>
      </w:r>
    </w:p>
    <w:p w:rsidR="004842CB" w:rsidRPr="009F6816" w:rsidRDefault="004842CB" w:rsidP="000C6C6B">
      <w:pPr>
        <w:pStyle w:val="BTF1"/>
        <w:rPr>
          <w:sz w:val="20"/>
          <w:szCs w:val="20"/>
        </w:rPr>
      </w:pPr>
      <w:r w:rsidRPr="009F6816">
        <w:rPr>
          <w:sz w:val="20"/>
          <w:szCs w:val="20"/>
        </w:rPr>
        <w:t xml:space="preserve">Please refer to the </w:t>
      </w:r>
      <w:r w:rsidR="00A259DD" w:rsidRPr="009F6816">
        <w:rPr>
          <w:sz w:val="20"/>
          <w:szCs w:val="20"/>
        </w:rPr>
        <w:t xml:space="preserve">paragraph below captioned </w:t>
      </w:r>
      <w:r w:rsidR="008F34DE" w:rsidRPr="009F6816">
        <w:rPr>
          <w:sz w:val="20"/>
          <w:szCs w:val="20"/>
        </w:rPr>
        <w:t>“</w:t>
      </w:r>
      <w:r w:rsidR="00A259DD" w:rsidRPr="009F6816">
        <w:rPr>
          <w:sz w:val="20"/>
          <w:szCs w:val="20"/>
        </w:rPr>
        <w:t>Additional Procedures</w:t>
      </w:r>
      <w:r w:rsidR="008F34DE" w:rsidRPr="009F6816">
        <w:rPr>
          <w:sz w:val="20"/>
          <w:szCs w:val="20"/>
        </w:rPr>
        <w:t>”</w:t>
      </w:r>
      <w:r w:rsidR="00A259DD" w:rsidRPr="009F6816">
        <w:rPr>
          <w:sz w:val="20"/>
          <w:szCs w:val="20"/>
        </w:rPr>
        <w:t xml:space="preserve"> for additional restrictions on trading.</w:t>
      </w:r>
    </w:p>
    <w:p w:rsidR="000C6C6B" w:rsidRPr="009F6816" w:rsidRDefault="000C6C6B" w:rsidP="00820D0F">
      <w:pPr>
        <w:pStyle w:val="BTF1"/>
        <w:keepNext/>
        <w:keepLines/>
        <w:numPr>
          <w:ilvl w:val="0"/>
          <w:numId w:val="43"/>
        </w:numPr>
        <w:tabs>
          <w:tab w:val="clear" w:pos="1440"/>
          <w:tab w:val="left" w:pos="1350"/>
        </w:tabs>
        <w:ind w:left="720"/>
        <w:rPr>
          <w:rFonts w:ascii="Times New Roman Bold" w:hAnsi="Times New Roman Bold"/>
          <w:b/>
          <w:caps/>
          <w:sz w:val="20"/>
          <w:szCs w:val="20"/>
          <w:u w:val="single"/>
        </w:rPr>
      </w:pPr>
      <w:r w:rsidRPr="009F6816">
        <w:rPr>
          <w:rFonts w:ascii="Times New Roman Bold" w:hAnsi="Times New Roman Bold"/>
          <w:b/>
          <w:caps/>
          <w:sz w:val="20"/>
          <w:szCs w:val="20"/>
          <w:u w:val="single"/>
        </w:rPr>
        <w:t xml:space="preserve">Transactions Not </w:t>
      </w:r>
      <w:r w:rsidR="00947DD4" w:rsidRPr="009F6816">
        <w:rPr>
          <w:rFonts w:ascii="Times New Roman Bold" w:hAnsi="Times New Roman Bold"/>
          <w:b/>
          <w:caps/>
          <w:sz w:val="20"/>
          <w:szCs w:val="20"/>
          <w:u w:val="single"/>
        </w:rPr>
        <w:t>Subject to this Policy</w:t>
      </w:r>
    </w:p>
    <w:p w:rsidR="00C74C70" w:rsidRPr="009F6816" w:rsidRDefault="00947DD4" w:rsidP="00820D0F">
      <w:pPr>
        <w:pStyle w:val="BTF1"/>
        <w:keepNext/>
        <w:keepLines/>
        <w:numPr>
          <w:ilvl w:val="0"/>
          <w:numId w:val="44"/>
        </w:numPr>
        <w:rPr>
          <w:sz w:val="20"/>
          <w:szCs w:val="20"/>
        </w:rPr>
      </w:pPr>
      <w:r w:rsidRPr="009F6816">
        <w:rPr>
          <w:b/>
          <w:i/>
          <w:sz w:val="20"/>
          <w:szCs w:val="20"/>
        </w:rPr>
        <w:t>Bona Fide Gifts</w:t>
      </w:r>
    </w:p>
    <w:p w:rsidR="009F7944" w:rsidRPr="009F6816" w:rsidRDefault="000C6C6B" w:rsidP="00820D0F">
      <w:pPr>
        <w:pStyle w:val="BTF1"/>
        <w:keepNext/>
        <w:keepLines/>
        <w:rPr>
          <w:sz w:val="20"/>
          <w:szCs w:val="20"/>
        </w:rPr>
      </w:pPr>
      <w:proofErr w:type="gramStart"/>
      <w:r w:rsidRPr="009F6816">
        <w:rPr>
          <w:sz w:val="20"/>
          <w:szCs w:val="20"/>
        </w:rPr>
        <w:t xml:space="preserve">Bona fide gifts are not transactions subject to this </w:t>
      </w:r>
      <w:r w:rsidR="00B9448A" w:rsidRPr="009F6816">
        <w:rPr>
          <w:sz w:val="20"/>
          <w:szCs w:val="20"/>
        </w:rPr>
        <w:t>P</w:t>
      </w:r>
      <w:r w:rsidR="00D44070" w:rsidRPr="009F6816">
        <w:rPr>
          <w:sz w:val="20"/>
          <w:szCs w:val="20"/>
        </w:rPr>
        <w:t>olicy</w:t>
      </w:r>
      <w:r w:rsidRPr="009F6816">
        <w:rPr>
          <w:sz w:val="20"/>
          <w:szCs w:val="20"/>
        </w:rPr>
        <w:t xml:space="preserve">, unless the person making the gift has reason to believe that the recipient intends to sell the Company securities while the </w:t>
      </w:r>
      <w:r w:rsidR="00AE6D5B" w:rsidRPr="009F6816">
        <w:rPr>
          <w:sz w:val="20"/>
          <w:szCs w:val="20"/>
        </w:rPr>
        <w:t xml:space="preserve">person making the gift </w:t>
      </w:r>
      <w:r w:rsidRPr="009F6816">
        <w:rPr>
          <w:sz w:val="20"/>
          <w:szCs w:val="20"/>
        </w:rPr>
        <w:t xml:space="preserve">is aware of </w:t>
      </w:r>
      <w:r w:rsidR="00AE6D5B" w:rsidRPr="009F6816">
        <w:rPr>
          <w:sz w:val="20"/>
          <w:szCs w:val="20"/>
        </w:rPr>
        <w:t>Inside I</w:t>
      </w:r>
      <w:r w:rsidRPr="009F6816">
        <w:rPr>
          <w:sz w:val="20"/>
          <w:szCs w:val="20"/>
        </w:rPr>
        <w:t xml:space="preserve">nformation or </w:t>
      </w:r>
      <w:r w:rsidR="005605A4" w:rsidRPr="009F6816">
        <w:rPr>
          <w:sz w:val="20"/>
          <w:szCs w:val="20"/>
        </w:rPr>
        <w:t xml:space="preserve">during a blackout period to which </w:t>
      </w:r>
      <w:r w:rsidRPr="009F6816">
        <w:rPr>
          <w:sz w:val="20"/>
          <w:szCs w:val="20"/>
        </w:rPr>
        <w:t>the person making the gift is subject</w:t>
      </w:r>
      <w:r w:rsidR="004C5925" w:rsidRPr="009F6816">
        <w:rPr>
          <w:sz w:val="20"/>
          <w:szCs w:val="20"/>
        </w:rPr>
        <w:t xml:space="preserve">; </w:t>
      </w:r>
      <w:r w:rsidR="004C5925" w:rsidRPr="009F6816">
        <w:rPr>
          <w:sz w:val="20"/>
          <w:szCs w:val="20"/>
          <w:u w:val="single"/>
        </w:rPr>
        <w:t>provided</w:t>
      </w:r>
      <w:r w:rsidR="004C5925" w:rsidRPr="009F6816">
        <w:rPr>
          <w:sz w:val="20"/>
          <w:szCs w:val="20"/>
        </w:rPr>
        <w:t xml:space="preserve"> that</w:t>
      </w:r>
      <w:r w:rsidR="00AE6D5B" w:rsidRPr="009F6816">
        <w:rPr>
          <w:sz w:val="20"/>
          <w:szCs w:val="20"/>
        </w:rPr>
        <w:t xml:space="preserve"> bona fide gifts of Company securities by</w:t>
      </w:r>
      <w:r w:rsidR="009F7944" w:rsidRPr="009F6816">
        <w:rPr>
          <w:sz w:val="20"/>
          <w:szCs w:val="20"/>
        </w:rPr>
        <w:t xml:space="preserve"> directors, officers who have been designated by the Company’s Board of Directors (the “</w:t>
      </w:r>
      <w:r w:rsidR="009F7944" w:rsidRPr="009F6816">
        <w:rPr>
          <w:b/>
          <w:i/>
          <w:sz w:val="20"/>
          <w:szCs w:val="20"/>
        </w:rPr>
        <w:t>Board</w:t>
      </w:r>
      <w:r w:rsidR="009F7944" w:rsidRPr="009F6816">
        <w:rPr>
          <w:sz w:val="20"/>
          <w:szCs w:val="20"/>
        </w:rPr>
        <w:t>”) as “officers” for purposes of Section 16 of the Exchange Act (collectively with the directors, “</w:t>
      </w:r>
      <w:r w:rsidR="009F7944" w:rsidRPr="009F6816">
        <w:rPr>
          <w:b/>
          <w:i/>
          <w:sz w:val="20"/>
          <w:szCs w:val="20"/>
        </w:rPr>
        <w:t>Section 16 Reporting Persons</w:t>
      </w:r>
      <w:r w:rsidR="009F7944" w:rsidRPr="009F6816">
        <w:rPr>
          <w:sz w:val="20"/>
          <w:szCs w:val="20"/>
        </w:rPr>
        <w:t>”) and certain other employees who may be designated by the Administrator from time to time (“</w:t>
      </w:r>
      <w:r w:rsidR="009F7944" w:rsidRPr="009F6816">
        <w:rPr>
          <w:b/>
          <w:i/>
          <w:sz w:val="20"/>
          <w:szCs w:val="20"/>
        </w:rPr>
        <w:t>Designated Individuals</w:t>
      </w:r>
      <w:r w:rsidR="009F7944" w:rsidRPr="009F6816">
        <w:rPr>
          <w:sz w:val="20"/>
          <w:szCs w:val="20"/>
        </w:rPr>
        <w:t>”)</w:t>
      </w:r>
      <w:r w:rsidR="00AE6D5B" w:rsidRPr="009F6816">
        <w:rPr>
          <w:sz w:val="20"/>
          <w:szCs w:val="20"/>
        </w:rPr>
        <w:t xml:space="preserve"> are subject to the pre-clearance procedures set forth below under the caption </w:t>
      </w:r>
      <w:r w:rsidR="008F34DE" w:rsidRPr="009F6816">
        <w:rPr>
          <w:sz w:val="20"/>
          <w:szCs w:val="20"/>
        </w:rPr>
        <w:t>“</w:t>
      </w:r>
      <w:r w:rsidR="00AE6D5B" w:rsidRPr="009F6816">
        <w:rPr>
          <w:sz w:val="20"/>
          <w:szCs w:val="20"/>
        </w:rPr>
        <w:t>Additional Procedures.</w:t>
      </w:r>
      <w:r w:rsidR="008F34DE" w:rsidRPr="009F6816">
        <w:rPr>
          <w:sz w:val="20"/>
          <w:szCs w:val="20"/>
        </w:rPr>
        <w:t>”</w:t>
      </w:r>
      <w:proofErr w:type="gramEnd"/>
    </w:p>
    <w:p w:rsidR="00C74C70" w:rsidRPr="009F6816" w:rsidRDefault="000C6C6B" w:rsidP="00C74C70">
      <w:pPr>
        <w:pStyle w:val="BTF1"/>
        <w:numPr>
          <w:ilvl w:val="0"/>
          <w:numId w:val="44"/>
        </w:numPr>
        <w:rPr>
          <w:sz w:val="20"/>
          <w:szCs w:val="20"/>
        </w:rPr>
      </w:pPr>
      <w:r w:rsidRPr="009F6816">
        <w:rPr>
          <w:b/>
          <w:i/>
          <w:sz w:val="20"/>
          <w:szCs w:val="20"/>
        </w:rPr>
        <w:t>Option Exercises</w:t>
      </w:r>
    </w:p>
    <w:p w:rsidR="000C6C6B" w:rsidRPr="009F6816" w:rsidRDefault="000C6C6B" w:rsidP="00C74C70">
      <w:pPr>
        <w:pStyle w:val="BTF1"/>
        <w:rPr>
          <w:sz w:val="20"/>
          <w:szCs w:val="20"/>
        </w:rPr>
      </w:pPr>
      <w:proofErr w:type="gramStart"/>
      <w:r w:rsidRPr="009F6816">
        <w:rPr>
          <w:sz w:val="20"/>
          <w:szCs w:val="20"/>
        </w:rPr>
        <w:t xml:space="preserve">This </w:t>
      </w:r>
      <w:r w:rsidR="00B9448A" w:rsidRPr="009F6816">
        <w:rPr>
          <w:sz w:val="20"/>
          <w:szCs w:val="20"/>
        </w:rPr>
        <w:t>P</w:t>
      </w:r>
      <w:r w:rsidR="00D44070" w:rsidRPr="009F6816">
        <w:rPr>
          <w:sz w:val="20"/>
          <w:szCs w:val="20"/>
        </w:rPr>
        <w:t>olicy</w:t>
      </w:r>
      <w:r w:rsidRPr="009F6816">
        <w:rPr>
          <w:sz w:val="20"/>
          <w:szCs w:val="20"/>
        </w:rPr>
        <w:t xml:space="preserve"> does not apply to the exercise of an employee option acquired pursuant to the Company</w:t>
      </w:r>
      <w:r w:rsidR="008F34DE" w:rsidRPr="009F6816">
        <w:rPr>
          <w:sz w:val="20"/>
          <w:szCs w:val="20"/>
        </w:rPr>
        <w:t>’</w:t>
      </w:r>
      <w:r w:rsidRPr="009F6816">
        <w:rPr>
          <w:sz w:val="20"/>
          <w:szCs w:val="20"/>
        </w:rPr>
        <w:t xml:space="preserve">s plans, or to the exercise of a tax withholding right pursuant to which a person has elected to have the Company withhold </w:t>
      </w:r>
      <w:r w:rsidR="008A6F59" w:rsidRPr="009F6816">
        <w:rPr>
          <w:sz w:val="20"/>
          <w:szCs w:val="20"/>
        </w:rPr>
        <w:t xml:space="preserve">share </w:t>
      </w:r>
      <w:r w:rsidRPr="009F6816">
        <w:rPr>
          <w:sz w:val="20"/>
          <w:szCs w:val="20"/>
        </w:rPr>
        <w:t>subject to an option to satisfy tax withholding requirements</w:t>
      </w:r>
      <w:r w:rsidR="004C5925" w:rsidRPr="009F6816">
        <w:rPr>
          <w:sz w:val="20"/>
          <w:szCs w:val="20"/>
        </w:rPr>
        <w:t xml:space="preserve">; </w:t>
      </w:r>
      <w:r w:rsidR="004C5925" w:rsidRPr="009F6816">
        <w:rPr>
          <w:sz w:val="20"/>
          <w:szCs w:val="20"/>
          <w:u w:val="single"/>
        </w:rPr>
        <w:t>provided</w:t>
      </w:r>
      <w:r w:rsidR="004C5925" w:rsidRPr="009F6816">
        <w:rPr>
          <w:sz w:val="20"/>
          <w:szCs w:val="20"/>
        </w:rPr>
        <w:t xml:space="preserve"> that such exercises by Section 16 Reporting Persons and Designated Individuals are subject to the pre-clearance procedures set forth below under the caption “Additional Procedures.”</w:t>
      </w:r>
      <w:proofErr w:type="gramEnd"/>
      <w:r w:rsidRPr="009F6816">
        <w:rPr>
          <w:sz w:val="20"/>
          <w:szCs w:val="20"/>
        </w:rPr>
        <w:t xml:space="preserve"> This </w:t>
      </w:r>
      <w:r w:rsidR="00B9448A" w:rsidRPr="009F6816">
        <w:rPr>
          <w:sz w:val="20"/>
          <w:szCs w:val="20"/>
        </w:rPr>
        <w:t>P</w:t>
      </w:r>
      <w:r w:rsidR="00D44070" w:rsidRPr="009F6816">
        <w:rPr>
          <w:sz w:val="20"/>
          <w:szCs w:val="20"/>
        </w:rPr>
        <w:t>olicy</w:t>
      </w:r>
      <w:r w:rsidRPr="009F6816">
        <w:rPr>
          <w:sz w:val="20"/>
          <w:szCs w:val="20"/>
        </w:rPr>
        <w:t xml:space="preserve"> does apply, however, to any sale of </w:t>
      </w:r>
      <w:r w:rsidR="0022397B" w:rsidRPr="009F6816">
        <w:rPr>
          <w:sz w:val="20"/>
          <w:szCs w:val="20"/>
        </w:rPr>
        <w:t>s</w:t>
      </w:r>
      <w:r w:rsidR="008A6F59" w:rsidRPr="009F6816">
        <w:rPr>
          <w:sz w:val="20"/>
          <w:szCs w:val="20"/>
        </w:rPr>
        <w:t>hare</w:t>
      </w:r>
      <w:r w:rsidRPr="009F6816">
        <w:rPr>
          <w:sz w:val="20"/>
          <w:szCs w:val="20"/>
        </w:rPr>
        <w:t xml:space="preserve"> as part of a broker-assisted cashless exercise of an option, or any other market sale </w:t>
      </w:r>
      <w:proofErr w:type="gramStart"/>
      <w:r w:rsidRPr="009F6816">
        <w:rPr>
          <w:sz w:val="20"/>
          <w:szCs w:val="20"/>
        </w:rPr>
        <w:t>for the purpose of</w:t>
      </w:r>
      <w:proofErr w:type="gramEnd"/>
      <w:r w:rsidRPr="009F6816">
        <w:rPr>
          <w:sz w:val="20"/>
          <w:szCs w:val="20"/>
        </w:rPr>
        <w:t xml:space="preserve"> generating the cash needed to pay the exercise price of an option.</w:t>
      </w:r>
    </w:p>
    <w:p w:rsidR="00973171" w:rsidRPr="009F6816" w:rsidRDefault="000C6C6B" w:rsidP="00973171">
      <w:pPr>
        <w:pStyle w:val="ListParagraph"/>
        <w:numPr>
          <w:ilvl w:val="0"/>
          <w:numId w:val="44"/>
        </w:numPr>
        <w:jc w:val="both"/>
        <w:rPr>
          <w:sz w:val="20"/>
          <w:szCs w:val="20"/>
        </w:rPr>
      </w:pPr>
      <w:r w:rsidRPr="009F6816">
        <w:rPr>
          <w:b/>
          <w:i/>
          <w:sz w:val="20"/>
          <w:szCs w:val="20"/>
        </w:rPr>
        <w:t xml:space="preserve">Restricted </w:t>
      </w:r>
      <w:r w:rsidR="0022397B" w:rsidRPr="009F6816">
        <w:rPr>
          <w:b/>
          <w:i/>
          <w:sz w:val="20"/>
          <w:szCs w:val="20"/>
        </w:rPr>
        <w:t>S</w:t>
      </w:r>
      <w:r w:rsidR="008A6F59" w:rsidRPr="009F6816">
        <w:rPr>
          <w:b/>
          <w:i/>
          <w:sz w:val="20"/>
          <w:szCs w:val="20"/>
        </w:rPr>
        <w:t>hare</w:t>
      </w:r>
      <w:r w:rsidRPr="009F6816">
        <w:rPr>
          <w:b/>
          <w:i/>
          <w:sz w:val="20"/>
          <w:szCs w:val="20"/>
        </w:rPr>
        <w:t xml:space="preserve"> Awards</w:t>
      </w:r>
    </w:p>
    <w:p w:rsidR="00973171" w:rsidRPr="009F6816" w:rsidRDefault="00973171" w:rsidP="00973171">
      <w:pPr>
        <w:ind w:firstLine="720"/>
        <w:jc w:val="both"/>
        <w:rPr>
          <w:sz w:val="20"/>
          <w:szCs w:val="20"/>
        </w:rPr>
      </w:pPr>
    </w:p>
    <w:p w:rsidR="000C6C6B" w:rsidRPr="009F6816" w:rsidRDefault="000C6C6B" w:rsidP="00973171">
      <w:pPr>
        <w:ind w:firstLine="720"/>
        <w:jc w:val="both"/>
        <w:rPr>
          <w:sz w:val="20"/>
          <w:szCs w:val="20"/>
        </w:rPr>
      </w:pPr>
      <w:proofErr w:type="gramStart"/>
      <w:r w:rsidRPr="009F6816">
        <w:rPr>
          <w:sz w:val="20"/>
          <w:szCs w:val="20"/>
        </w:rPr>
        <w:t xml:space="preserve">This </w:t>
      </w:r>
      <w:r w:rsidR="00B9448A" w:rsidRPr="009F6816">
        <w:rPr>
          <w:sz w:val="20"/>
          <w:szCs w:val="20"/>
        </w:rPr>
        <w:t>P</w:t>
      </w:r>
      <w:r w:rsidR="00D44070" w:rsidRPr="009F6816">
        <w:rPr>
          <w:sz w:val="20"/>
          <w:szCs w:val="20"/>
        </w:rPr>
        <w:t>olicy</w:t>
      </w:r>
      <w:r w:rsidRPr="009F6816">
        <w:rPr>
          <w:sz w:val="20"/>
          <w:szCs w:val="20"/>
        </w:rPr>
        <w:t xml:space="preserve"> does not apply to the exercise of a tax withholding right pursuant to which you elect to have the Company withhold </w:t>
      </w:r>
      <w:r w:rsidR="00AD1548" w:rsidRPr="009F6816">
        <w:rPr>
          <w:sz w:val="20"/>
          <w:szCs w:val="20"/>
        </w:rPr>
        <w:t xml:space="preserve">share </w:t>
      </w:r>
      <w:r w:rsidRPr="009F6816">
        <w:rPr>
          <w:sz w:val="20"/>
          <w:szCs w:val="20"/>
        </w:rPr>
        <w:t xml:space="preserve">to satisfy tax withholding requirements upon the vesting of any restricted </w:t>
      </w:r>
      <w:r w:rsidR="00AD1548" w:rsidRPr="009F6816">
        <w:rPr>
          <w:sz w:val="20"/>
          <w:szCs w:val="20"/>
        </w:rPr>
        <w:t>share</w:t>
      </w:r>
      <w:r w:rsidR="004C5925" w:rsidRPr="009F6816">
        <w:rPr>
          <w:sz w:val="20"/>
          <w:szCs w:val="20"/>
        </w:rPr>
        <w:t xml:space="preserve">; </w:t>
      </w:r>
      <w:r w:rsidR="004C5925" w:rsidRPr="009F6816">
        <w:rPr>
          <w:sz w:val="20"/>
          <w:szCs w:val="20"/>
          <w:u w:val="single"/>
        </w:rPr>
        <w:t>provided</w:t>
      </w:r>
      <w:r w:rsidR="004C5925" w:rsidRPr="009F6816">
        <w:rPr>
          <w:sz w:val="20"/>
          <w:szCs w:val="20"/>
        </w:rPr>
        <w:t xml:space="preserve"> that such exercise by Section 16 Reporting Persons and Designated Individuals is subject to the pre-clearance procedures set forth below under the caption “Additional Procedures.”</w:t>
      </w:r>
      <w:proofErr w:type="gramEnd"/>
      <w:r w:rsidR="00DC0B23" w:rsidRPr="009F6816">
        <w:rPr>
          <w:sz w:val="20"/>
          <w:szCs w:val="20"/>
        </w:rPr>
        <w:t xml:space="preserve"> </w:t>
      </w:r>
      <w:r w:rsidRPr="009F6816">
        <w:rPr>
          <w:sz w:val="20"/>
          <w:szCs w:val="20"/>
        </w:rPr>
        <w:t>Th</w:t>
      </w:r>
      <w:r w:rsidR="00B9448A" w:rsidRPr="009F6816">
        <w:rPr>
          <w:sz w:val="20"/>
          <w:szCs w:val="20"/>
        </w:rPr>
        <w:t>is</w:t>
      </w:r>
      <w:r w:rsidRPr="009F6816">
        <w:rPr>
          <w:sz w:val="20"/>
          <w:szCs w:val="20"/>
        </w:rPr>
        <w:t xml:space="preserve"> </w:t>
      </w:r>
      <w:r w:rsidR="00B9448A" w:rsidRPr="009F6816">
        <w:rPr>
          <w:sz w:val="20"/>
          <w:szCs w:val="20"/>
        </w:rPr>
        <w:t>P</w:t>
      </w:r>
      <w:r w:rsidR="00D44070" w:rsidRPr="009F6816">
        <w:rPr>
          <w:sz w:val="20"/>
          <w:szCs w:val="20"/>
        </w:rPr>
        <w:t>olicy</w:t>
      </w:r>
      <w:r w:rsidRPr="009F6816">
        <w:rPr>
          <w:sz w:val="20"/>
          <w:szCs w:val="20"/>
        </w:rPr>
        <w:t xml:space="preserve"> does apply, however, to any market sale of restricted </w:t>
      </w:r>
      <w:r w:rsidR="00D81362" w:rsidRPr="009F6816">
        <w:rPr>
          <w:sz w:val="20"/>
          <w:szCs w:val="20"/>
        </w:rPr>
        <w:t>s</w:t>
      </w:r>
      <w:r w:rsidR="00AD1548" w:rsidRPr="009F6816">
        <w:rPr>
          <w:sz w:val="20"/>
          <w:szCs w:val="20"/>
        </w:rPr>
        <w:t>hare</w:t>
      </w:r>
      <w:r w:rsidRPr="009F6816">
        <w:rPr>
          <w:sz w:val="20"/>
          <w:szCs w:val="20"/>
        </w:rPr>
        <w:t>.</w:t>
      </w:r>
      <w:bookmarkStart w:id="0" w:name="_GoBack"/>
      <w:bookmarkEnd w:id="0"/>
    </w:p>
    <w:p w:rsidR="004C5925" w:rsidRPr="009F6816" w:rsidRDefault="004C5925" w:rsidP="000C6C6B">
      <w:pPr>
        <w:ind w:firstLine="720"/>
        <w:jc w:val="both"/>
        <w:rPr>
          <w:sz w:val="20"/>
          <w:szCs w:val="20"/>
        </w:rPr>
      </w:pPr>
    </w:p>
    <w:p w:rsidR="00973171" w:rsidRPr="009F6816" w:rsidRDefault="004C5925" w:rsidP="00973171">
      <w:pPr>
        <w:pStyle w:val="BTF1"/>
        <w:numPr>
          <w:ilvl w:val="0"/>
          <w:numId w:val="44"/>
        </w:numPr>
        <w:rPr>
          <w:sz w:val="20"/>
          <w:szCs w:val="20"/>
        </w:rPr>
      </w:pPr>
      <w:r w:rsidRPr="009F6816">
        <w:rPr>
          <w:b/>
          <w:i/>
          <w:sz w:val="20"/>
          <w:szCs w:val="20"/>
        </w:rPr>
        <w:t>Mutual Funds</w:t>
      </w:r>
    </w:p>
    <w:p w:rsidR="004C5925" w:rsidRPr="009F6816" w:rsidRDefault="004C5925" w:rsidP="00973171">
      <w:pPr>
        <w:pStyle w:val="BTF1"/>
        <w:rPr>
          <w:sz w:val="20"/>
          <w:szCs w:val="20"/>
        </w:rPr>
      </w:pPr>
      <w:r w:rsidRPr="009F6816">
        <w:rPr>
          <w:sz w:val="20"/>
          <w:szCs w:val="20"/>
        </w:rPr>
        <w:t xml:space="preserve">Transactions in mutual funds that </w:t>
      </w:r>
      <w:proofErr w:type="gramStart"/>
      <w:r w:rsidRPr="009F6816">
        <w:rPr>
          <w:sz w:val="20"/>
          <w:szCs w:val="20"/>
        </w:rPr>
        <w:t>are invested</w:t>
      </w:r>
      <w:proofErr w:type="gramEnd"/>
      <w:r w:rsidRPr="009F6816">
        <w:rPr>
          <w:sz w:val="20"/>
          <w:szCs w:val="20"/>
        </w:rPr>
        <w:t xml:space="preserve"> in securities of the Company or another company with respect to which an Insider possesses Inside Information are not transactions subject to this </w:t>
      </w:r>
      <w:r w:rsidR="00B9448A" w:rsidRPr="009F6816">
        <w:rPr>
          <w:sz w:val="20"/>
          <w:szCs w:val="20"/>
        </w:rPr>
        <w:t>P</w:t>
      </w:r>
      <w:r w:rsidRPr="009F6816">
        <w:rPr>
          <w:sz w:val="20"/>
          <w:szCs w:val="20"/>
        </w:rPr>
        <w:t>olicy.</w:t>
      </w:r>
    </w:p>
    <w:p w:rsidR="00B87B09" w:rsidRPr="009F6816" w:rsidRDefault="000C6C6B" w:rsidP="00B87B09">
      <w:pPr>
        <w:pStyle w:val="ListParagraph"/>
        <w:numPr>
          <w:ilvl w:val="0"/>
          <w:numId w:val="44"/>
        </w:numPr>
        <w:jc w:val="both"/>
        <w:rPr>
          <w:sz w:val="20"/>
          <w:szCs w:val="20"/>
        </w:rPr>
      </w:pPr>
      <w:r w:rsidRPr="009F6816">
        <w:rPr>
          <w:b/>
          <w:i/>
          <w:sz w:val="20"/>
          <w:szCs w:val="20"/>
        </w:rPr>
        <w:t>Other Similar Transactions</w:t>
      </w:r>
    </w:p>
    <w:p w:rsidR="00B87B09" w:rsidRPr="009F6816" w:rsidRDefault="00B87B09" w:rsidP="00B87B09">
      <w:pPr>
        <w:jc w:val="both"/>
        <w:rPr>
          <w:sz w:val="20"/>
          <w:szCs w:val="20"/>
        </w:rPr>
      </w:pPr>
    </w:p>
    <w:p w:rsidR="000C6C6B" w:rsidRPr="009F6816" w:rsidRDefault="000C6C6B" w:rsidP="00B87B09">
      <w:pPr>
        <w:ind w:firstLine="720"/>
        <w:jc w:val="both"/>
        <w:rPr>
          <w:sz w:val="20"/>
          <w:szCs w:val="20"/>
        </w:rPr>
      </w:pPr>
      <w:r w:rsidRPr="009F6816">
        <w:rPr>
          <w:sz w:val="20"/>
          <w:szCs w:val="20"/>
        </w:rPr>
        <w:t xml:space="preserve">Any other purchase of Company securities from the Company or sales of Company securities to the Company are not subject to this </w:t>
      </w:r>
      <w:r w:rsidR="00B9448A" w:rsidRPr="009F6816">
        <w:rPr>
          <w:sz w:val="20"/>
          <w:szCs w:val="20"/>
        </w:rPr>
        <w:t>P</w:t>
      </w:r>
      <w:r w:rsidR="00D44070" w:rsidRPr="009F6816">
        <w:rPr>
          <w:sz w:val="20"/>
          <w:szCs w:val="20"/>
        </w:rPr>
        <w:t>olicy</w:t>
      </w:r>
      <w:r w:rsidRPr="009F6816">
        <w:rPr>
          <w:sz w:val="20"/>
          <w:szCs w:val="20"/>
        </w:rPr>
        <w:t>.</w:t>
      </w:r>
    </w:p>
    <w:p w:rsidR="008F34DE" w:rsidRPr="009F6816" w:rsidRDefault="008F34DE" w:rsidP="000C6C6B">
      <w:pPr>
        <w:ind w:firstLine="720"/>
        <w:jc w:val="both"/>
        <w:rPr>
          <w:sz w:val="20"/>
          <w:szCs w:val="20"/>
        </w:rPr>
      </w:pPr>
    </w:p>
    <w:p w:rsidR="00B87B09" w:rsidRPr="009F6816" w:rsidRDefault="008F34DE" w:rsidP="00B87B09">
      <w:pPr>
        <w:pStyle w:val="ListParagraph"/>
        <w:numPr>
          <w:ilvl w:val="0"/>
          <w:numId w:val="44"/>
        </w:numPr>
        <w:jc w:val="both"/>
        <w:rPr>
          <w:sz w:val="20"/>
          <w:szCs w:val="20"/>
        </w:rPr>
      </w:pPr>
      <w:r w:rsidRPr="009F6816">
        <w:rPr>
          <w:b/>
          <w:i/>
          <w:sz w:val="20"/>
          <w:szCs w:val="20"/>
        </w:rPr>
        <w:t>Rule 10b5-1 Plans</w:t>
      </w:r>
    </w:p>
    <w:p w:rsidR="00B87B09" w:rsidRPr="009F6816" w:rsidRDefault="00B87B09" w:rsidP="00B87B09">
      <w:pPr>
        <w:jc w:val="both"/>
        <w:rPr>
          <w:sz w:val="20"/>
          <w:szCs w:val="20"/>
        </w:rPr>
      </w:pPr>
    </w:p>
    <w:p w:rsidR="007E2635" w:rsidRPr="009F6816" w:rsidRDefault="00BD5A57" w:rsidP="00B87B09">
      <w:pPr>
        <w:ind w:firstLine="720"/>
        <w:jc w:val="both"/>
        <w:rPr>
          <w:sz w:val="20"/>
          <w:szCs w:val="20"/>
        </w:rPr>
      </w:pPr>
      <w:proofErr w:type="gramStart"/>
      <w:r w:rsidRPr="009F6816">
        <w:rPr>
          <w:sz w:val="20"/>
          <w:szCs w:val="20"/>
        </w:rPr>
        <w:t>Securities trading pursuant to contracts, plans or instructions complying with the requirements of Rule 10b5-1(c)(1) under the Exchange Act (“</w:t>
      </w:r>
      <w:r w:rsidRPr="009F6816">
        <w:rPr>
          <w:b/>
          <w:i/>
          <w:sz w:val="20"/>
          <w:szCs w:val="20"/>
        </w:rPr>
        <w:t>Rule 10b5-1 Plans</w:t>
      </w:r>
      <w:r w:rsidRPr="009F6816">
        <w:rPr>
          <w:sz w:val="20"/>
          <w:szCs w:val="20"/>
        </w:rPr>
        <w:t xml:space="preserve">”) and entered into in good faith while the person entering into the Rule 10b5-1 Plan is not in possession of Inside Information is not subject to this </w:t>
      </w:r>
      <w:r w:rsidR="00B9448A" w:rsidRPr="009F6816">
        <w:rPr>
          <w:sz w:val="20"/>
          <w:szCs w:val="20"/>
        </w:rPr>
        <w:t>P</w:t>
      </w:r>
      <w:r w:rsidRPr="009F6816">
        <w:rPr>
          <w:sz w:val="20"/>
          <w:szCs w:val="20"/>
        </w:rPr>
        <w:t xml:space="preserve">olicy, </w:t>
      </w:r>
      <w:r w:rsidRPr="009F6816">
        <w:rPr>
          <w:sz w:val="20"/>
          <w:szCs w:val="20"/>
          <w:u w:val="single"/>
        </w:rPr>
        <w:t>provided</w:t>
      </w:r>
      <w:r w:rsidRPr="009F6816">
        <w:rPr>
          <w:sz w:val="20"/>
          <w:szCs w:val="20"/>
        </w:rPr>
        <w:t xml:space="preserve"> that the adoption and maintenance of any such Rule 10b5-1 Plan by such person must be approved by the Administrator and</w:t>
      </w:r>
      <w:r w:rsidRPr="009F6816">
        <w:rPr>
          <w:b/>
          <w:sz w:val="20"/>
          <w:szCs w:val="20"/>
        </w:rPr>
        <w:t xml:space="preserve"> </w:t>
      </w:r>
      <w:r w:rsidRPr="009F6816">
        <w:rPr>
          <w:sz w:val="20"/>
          <w:szCs w:val="20"/>
        </w:rPr>
        <w:t>must comply with the requirements of Rule 10b5-1(c)(1).</w:t>
      </w:r>
      <w:proofErr w:type="gramEnd"/>
    </w:p>
    <w:p w:rsidR="007E2635" w:rsidRPr="009F6816" w:rsidRDefault="007E2635" w:rsidP="000C6C6B">
      <w:pPr>
        <w:jc w:val="both"/>
        <w:rPr>
          <w:b/>
          <w:sz w:val="20"/>
          <w:szCs w:val="20"/>
          <w:u w:val="single"/>
        </w:rPr>
      </w:pPr>
    </w:p>
    <w:p w:rsidR="000C6C6B" w:rsidRPr="009F6816" w:rsidRDefault="000C6C6B" w:rsidP="00820D0F">
      <w:pPr>
        <w:pStyle w:val="ListParagraph"/>
        <w:keepNext/>
        <w:keepLines/>
        <w:numPr>
          <w:ilvl w:val="0"/>
          <w:numId w:val="43"/>
        </w:numPr>
        <w:ind w:left="720"/>
        <w:jc w:val="both"/>
        <w:rPr>
          <w:rFonts w:ascii="Times New Roman Bold" w:hAnsi="Times New Roman Bold"/>
          <w:b/>
          <w:caps/>
          <w:sz w:val="20"/>
          <w:szCs w:val="20"/>
          <w:u w:val="single"/>
        </w:rPr>
      </w:pPr>
      <w:r w:rsidRPr="009F6816">
        <w:rPr>
          <w:rFonts w:ascii="Times New Roman Bold" w:hAnsi="Times New Roman Bold"/>
          <w:b/>
          <w:caps/>
          <w:sz w:val="20"/>
          <w:szCs w:val="20"/>
          <w:u w:val="single"/>
        </w:rPr>
        <w:t>Special and Prohibited Transactions</w:t>
      </w:r>
    </w:p>
    <w:p w:rsidR="000C6C6B" w:rsidRPr="009F6816" w:rsidRDefault="000C6C6B" w:rsidP="00820D0F">
      <w:pPr>
        <w:keepNext/>
        <w:keepLines/>
        <w:ind w:firstLine="720"/>
        <w:jc w:val="both"/>
        <w:rPr>
          <w:sz w:val="20"/>
          <w:szCs w:val="20"/>
        </w:rPr>
      </w:pPr>
    </w:p>
    <w:p w:rsidR="000C6C6B" w:rsidRPr="009F6816" w:rsidRDefault="000C6C6B" w:rsidP="00820D0F">
      <w:pPr>
        <w:keepNext/>
        <w:keepLines/>
        <w:ind w:firstLine="720"/>
        <w:jc w:val="both"/>
        <w:rPr>
          <w:sz w:val="20"/>
          <w:szCs w:val="20"/>
        </w:rPr>
      </w:pPr>
      <w:r w:rsidRPr="009F6816">
        <w:rPr>
          <w:sz w:val="20"/>
          <w:szCs w:val="20"/>
        </w:rPr>
        <w:t xml:space="preserve">The Company has determined that there is a heightened legal risk and/or the appearance of improper or inappropriate conduct if the persons subject to this </w:t>
      </w:r>
      <w:r w:rsidR="00B9448A" w:rsidRPr="009F6816">
        <w:rPr>
          <w:sz w:val="20"/>
          <w:szCs w:val="20"/>
        </w:rPr>
        <w:t>P</w:t>
      </w:r>
      <w:r w:rsidR="00D44070" w:rsidRPr="009F6816">
        <w:rPr>
          <w:sz w:val="20"/>
          <w:szCs w:val="20"/>
        </w:rPr>
        <w:t>olicy</w:t>
      </w:r>
      <w:r w:rsidRPr="009F6816">
        <w:rPr>
          <w:sz w:val="20"/>
          <w:szCs w:val="20"/>
        </w:rPr>
        <w:t xml:space="preserve"> engage in certain types of transactions. </w:t>
      </w:r>
      <w:proofErr w:type="gramStart"/>
      <w:r w:rsidR="00B9448A" w:rsidRPr="009F6816">
        <w:rPr>
          <w:sz w:val="20"/>
          <w:szCs w:val="20"/>
        </w:rPr>
        <w:t>T</w:t>
      </w:r>
      <w:r w:rsidRPr="009F6816">
        <w:rPr>
          <w:sz w:val="20"/>
          <w:szCs w:val="20"/>
        </w:rPr>
        <w:t>herefore</w:t>
      </w:r>
      <w:proofErr w:type="gramEnd"/>
      <w:r w:rsidRPr="009F6816">
        <w:rPr>
          <w:sz w:val="20"/>
          <w:szCs w:val="20"/>
        </w:rPr>
        <w:t xml:space="preserve"> any persons covered by this </w:t>
      </w:r>
      <w:r w:rsidR="00B9448A" w:rsidRPr="009F6816">
        <w:rPr>
          <w:sz w:val="20"/>
          <w:szCs w:val="20"/>
        </w:rPr>
        <w:t>P</w:t>
      </w:r>
      <w:r w:rsidR="00D44070" w:rsidRPr="009F6816">
        <w:rPr>
          <w:sz w:val="20"/>
          <w:szCs w:val="20"/>
        </w:rPr>
        <w:t>olicy</w:t>
      </w:r>
      <w:r w:rsidRPr="009F6816">
        <w:rPr>
          <w:sz w:val="20"/>
          <w:szCs w:val="20"/>
        </w:rPr>
        <w:t xml:space="preserve"> </w:t>
      </w:r>
      <w:r w:rsidR="00001F81" w:rsidRPr="009F6816">
        <w:rPr>
          <w:sz w:val="20"/>
          <w:szCs w:val="20"/>
        </w:rPr>
        <w:t>must comply with the following</w:t>
      </w:r>
      <w:r w:rsidRPr="009F6816">
        <w:rPr>
          <w:sz w:val="20"/>
          <w:szCs w:val="20"/>
        </w:rPr>
        <w:t>:</w:t>
      </w:r>
    </w:p>
    <w:p w:rsidR="000C6C6B" w:rsidRPr="009F6816" w:rsidRDefault="000C6C6B" w:rsidP="000C6C6B">
      <w:pPr>
        <w:ind w:firstLine="720"/>
        <w:jc w:val="both"/>
        <w:rPr>
          <w:sz w:val="20"/>
          <w:szCs w:val="20"/>
        </w:rPr>
      </w:pPr>
    </w:p>
    <w:p w:rsidR="009B1A5F" w:rsidRPr="009F6816" w:rsidRDefault="000C6C6B" w:rsidP="009B1A5F">
      <w:pPr>
        <w:pStyle w:val="ListParagraph"/>
        <w:numPr>
          <w:ilvl w:val="0"/>
          <w:numId w:val="45"/>
        </w:numPr>
        <w:jc w:val="both"/>
        <w:rPr>
          <w:sz w:val="20"/>
          <w:szCs w:val="20"/>
        </w:rPr>
      </w:pPr>
      <w:r w:rsidRPr="009F6816">
        <w:rPr>
          <w:b/>
          <w:i/>
          <w:sz w:val="20"/>
          <w:szCs w:val="20"/>
        </w:rPr>
        <w:t>Hedging Transactions</w:t>
      </w:r>
    </w:p>
    <w:p w:rsidR="009B1A5F" w:rsidRPr="009F6816" w:rsidRDefault="009B1A5F" w:rsidP="009B1A5F">
      <w:pPr>
        <w:jc w:val="both"/>
        <w:rPr>
          <w:sz w:val="20"/>
          <w:szCs w:val="20"/>
        </w:rPr>
      </w:pPr>
    </w:p>
    <w:p w:rsidR="000C6C6B" w:rsidRPr="009F6816" w:rsidRDefault="000C6C6B" w:rsidP="009B1A5F">
      <w:pPr>
        <w:ind w:firstLine="720"/>
        <w:jc w:val="both"/>
        <w:rPr>
          <w:sz w:val="20"/>
          <w:szCs w:val="20"/>
        </w:rPr>
      </w:pPr>
      <w:r w:rsidRPr="009F6816">
        <w:rPr>
          <w:sz w:val="20"/>
          <w:szCs w:val="20"/>
        </w:rPr>
        <w:t xml:space="preserve">Hedging or monetization transactions can be accomplished through a number of possible mechanisms, including through the use of financial instruments such as prepaid variable forwards, equity swaps, collars and exchange funds. Such hedging transactions may permit a director, officer or employee to continue to own Company securities obtained through employee benefit plans or otherwise, but without the full risks and rewards of ownership. When that occurs, the director, officer or employee may no longer have the same </w:t>
      </w:r>
      <w:proofErr w:type="gramStart"/>
      <w:r w:rsidRPr="009F6816">
        <w:rPr>
          <w:sz w:val="20"/>
          <w:szCs w:val="20"/>
        </w:rPr>
        <w:t>objectives</w:t>
      </w:r>
      <w:proofErr w:type="gramEnd"/>
      <w:r w:rsidRPr="009F6816">
        <w:rPr>
          <w:sz w:val="20"/>
          <w:szCs w:val="20"/>
        </w:rPr>
        <w:t xml:space="preserve"> as the Company</w:t>
      </w:r>
      <w:r w:rsidR="008F34DE" w:rsidRPr="009F6816">
        <w:rPr>
          <w:sz w:val="20"/>
          <w:szCs w:val="20"/>
        </w:rPr>
        <w:t>’</w:t>
      </w:r>
      <w:r w:rsidRPr="009F6816">
        <w:rPr>
          <w:sz w:val="20"/>
          <w:szCs w:val="20"/>
        </w:rPr>
        <w:t xml:space="preserve">s other </w:t>
      </w:r>
      <w:r w:rsidR="0035568F" w:rsidRPr="009F6816">
        <w:rPr>
          <w:sz w:val="20"/>
          <w:szCs w:val="20"/>
        </w:rPr>
        <w:t>s</w:t>
      </w:r>
      <w:r w:rsidR="00AD1548" w:rsidRPr="009F6816">
        <w:rPr>
          <w:sz w:val="20"/>
          <w:szCs w:val="20"/>
        </w:rPr>
        <w:t>hare</w:t>
      </w:r>
      <w:r w:rsidR="0035568F" w:rsidRPr="009F6816">
        <w:rPr>
          <w:sz w:val="20"/>
          <w:szCs w:val="20"/>
        </w:rPr>
        <w:t>hold</w:t>
      </w:r>
      <w:r w:rsidRPr="009F6816">
        <w:rPr>
          <w:sz w:val="20"/>
          <w:szCs w:val="20"/>
        </w:rPr>
        <w:t>ers. Therefore, directors, officers and employees</w:t>
      </w:r>
      <w:r w:rsidR="00001F81" w:rsidRPr="009F6816">
        <w:rPr>
          <w:sz w:val="20"/>
          <w:szCs w:val="20"/>
        </w:rPr>
        <w:t xml:space="preserve">, as well as their Family Members and </w:t>
      </w:r>
      <w:r w:rsidR="004260D1" w:rsidRPr="009F6816">
        <w:rPr>
          <w:sz w:val="20"/>
          <w:szCs w:val="20"/>
        </w:rPr>
        <w:t>Controlled Entities</w:t>
      </w:r>
      <w:r w:rsidR="00001F81" w:rsidRPr="009F6816">
        <w:rPr>
          <w:sz w:val="20"/>
          <w:szCs w:val="20"/>
        </w:rPr>
        <w:t>,</w:t>
      </w:r>
      <w:r w:rsidRPr="009F6816">
        <w:rPr>
          <w:sz w:val="20"/>
          <w:szCs w:val="20"/>
        </w:rPr>
        <w:t xml:space="preserve"> </w:t>
      </w:r>
      <w:proofErr w:type="gramStart"/>
      <w:r w:rsidRPr="009F6816">
        <w:rPr>
          <w:sz w:val="20"/>
          <w:szCs w:val="20"/>
        </w:rPr>
        <w:t>are prohibited</w:t>
      </w:r>
      <w:proofErr w:type="gramEnd"/>
      <w:r w:rsidRPr="009F6816">
        <w:rPr>
          <w:sz w:val="20"/>
          <w:szCs w:val="20"/>
        </w:rPr>
        <w:t xml:space="preserve"> from engaging in any such transactions.</w:t>
      </w:r>
    </w:p>
    <w:p w:rsidR="000C6C6B" w:rsidRPr="009F6816" w:rsidRDefault="000C6C6B" w:rsidP="000C6C6B">
      <w:pPr>
        <w:ind w:firstLine="720"/>
        <w:jc w:val="both"/>
        <w:rPr>
          <w:sz w:val="20"/>
          <w:szCs w:val="20"/>
        </w:rPr>
      </w:pPr>
    </w:p>
    <w:p w:rsidR="00805893" w:rsidRPr="009F6816" w:rsidRDefault="000C6C6B" w:rsidP="00805893">
      <w:pPr>
        <w:pStyle w:val="ListParagraph"/>
        <w:numPr>
          <w:ilvl w:val="0"/>
          <w:numId w:val="45"/>
        </w:numPr>
        <w:jc w:val="both"/>
        <w:rPr>
          <w:sz w:val="20"/>
          <w:szCs w:val="20"/>
        </w:rPr>
      </w:pPr>
      <w:r w:rsidRPr="009F6816">
        <w:rPr>
          <w:b/>
          <w:i/>
          <w:sz w:val="20"/>
          <w:szCs w:val="20"/>
        </w:rPr>
        <w:t>Margin Accounts and Pledged Securities</w:t>
      </w:r>
    </w:p>
    <w:p w:rsidR="00805893" w:rsidRPr="009F6816" w:rsidRDefault="00805893" w:rsidP="00805893">
      <w:pPr>
        <w:jc w:val="both"/>
        <w:rPr>
          <w:sz w:val="20"/>
          <w:szCs w:val="20"/>
        </w:rPr>
      </w:pPr>
    </w:p>
    <w:p w:rsidR="000C6C6B" w:rsidRPr="009F6816" w:rsidRDefault="005C0CCE" w:rsidP="00805893">
      <w:pPr>
        <w:ind w:firstLine="720"/>
        <w:jc w:val="both"/>
        <w:rPr>
          <w:sz w:val="20"/>
          <w:szCs w:val="20"/>
        </w:rPr>
      </w:pPr>
      <w:proofErr w:type="gramStart"/>
      <w:r w:rsidRPr="009F6816">
        <w:rPr>
          <w:sz w:val="20"/>
          <w:szCs w:val="20"/>
        </w:rPr>
        <w:t xml:space="preserve">In order to avoid a margin sale or foreclosure sale at a time when a </w:t>
      </w:r>
      <w:proofErr w:type="spellStart"/>
      <w:r w:rsidR="00C362C0" w:rsidRPr="009F6816">
        <w:rPr>
          <w:sz w:val="20"/>
          <w:szCs w:val="20"/>
        </w:rPr>
        <w:t>pledgor</w:t>
      </w:r>
      <w:proofErr w:type="spellEnd"/>
      <w:r w:rsidR="00B9448A" w:rsidRPr="009F6816">
        <w:rPr>
          <w:sz w:val="20"/>
          <w:szCs w:val="20"/>
        </w:rPr>
        <w:t>,</w:t>
      </w:r>
      <w:r w:rsidR="00C362C0" w:rsidRPr="009F6816">
        <w:rPr>
          <w:sz w:val="20"/>
          <w:szCs w:val="20"/>
        </w:rPr>
        <w:t xml:space="preserve"> who is a </w:t>
      </w:r>
      <w:r w:rsidRPr="009F6816">
        <w:rPr>
          <w:sz w:val="20"/>
          <w:szCs w:val="20"/>
        </w:rPr>
        <w:t>Company director, officer or employee</w:t>
      </w:r>
      <w:r w:rsidR="0080121F" w:rsidRPr="009F6816">
        <w:rPr>
          <w:sz w:val="20"/>
          <w:szCs w:val="20"/>
        </w:rPr>
        <w:t>, or their Family Member</w:t>
      </w:r>
      <w:r w:rsidR="004C5925" w:rsidRPr="009F6816">
        <w:rPr>
          <w:sz w:val="20"/>
          <w:szCs w:val="20"/>
        </w:rPr>
        <w:t>s</w:t>
      </w:r>
      <w:r w:rsidR="0080121F" w:rsidRPr="009F6816">
        <w:rPr>
          <w:sz w:val="20"/>
          <w:szCs w:val="20"/>
        </w:rPr>
        <w:t xml:space="preserve"> or Controlled Entit</w:t>
      </w:r>
      <w:r w:rsidR="004C5925" w:rsidRPr="009F6816">
        <w:rPr>
          <w:sz w:val="20"/>
          <w:szCs w:val="20"/>
        </w:rPr>
        <w:t>ies</w:t>
      </w:r>
      <w:r w:rsidR="0080121F" w:rsidRPr="009F6816">
        <w:rPr>
          <w:sz w:val="20"/>
          <w:szCs w:val="20"/>
        </w:rPr>
        <w:t>,</w:t>
      </w:r>
      <w:r w:rsidRPr="009F6816">
        <w:rPr>
          <w:sz w:val="20"/>
          <w:szCs w:val="20"/>
        </w:rPr>
        <w:t xml:space="preserve"> is aware of </w:t>
      </w:r>
      <w:r w:rsidR="0080121F" w:rsidRPr="009F6816">
        <w:rPr>
          <w:sz w:val="20"/>
          <w:szCs w:val="20"/>
        </w:rPr>
        <w:t xml:space="preserve">Inside Information </w:t>
      </w:r>
      <w:r w:rsidRPr="009F6816">
        <w:rPr>
          <w:sz w:val="20"/>
          <w:szCs w:val="20"/>
        </w:rPr>
        <w:t xml:space="preserve">or otherwise is not permitted to trade Company securities </w:t>
      </w:r>
      <w:r w:rsidR="0080121F" w:rsidRPr="009F6816">
        <w:rPr>
          <w:sz w:val="20"/>
          <w:szCs w:val="20"/>
        </w:rPr>
        <w:t>due to a blackout period</w:t>
      </w:r>
      <w:r w:rsidRPr="009F6816">
        <w:rPr>
          <w:sz w:val="20"/>
          <w:szCs w:val="20"/>
        </w:rPr>
        <w:t xml:space="preserve">, no Company director, officer or employee, or their Family Members </w:t>
      </w:r>
      <w:r w:rsidR="0080121F" w:rsidRPr="009F6816">
        <w:rPr>
          <w:sz w:val="20"/>
          <w:szCs w:val="20"/>
        </w:rPr>
        <w:t>or</w:t>
      </w:r>
      <w:r w:rsidRPr="009F6816">
        <w:rPr>
          <w:sz w:val="20"/>
          <w:szCs w:val="20"/>
        </w:rPr>
        <w:t xml:space="preserve"> Controlled Entities, may hold Company securities in a margin account or otherwise pledge (or hypothecate) Company securities as collateral for a loan without first obtaining prior approval from the </w:t>
      </w:r>
      <w:r w:rsidR="0049172F" w:rsidRPr="009F6816">
        <w:rPr>
          <w:sz w:val="20"/>
          <w:szCs w:val="20"/>
        </w:rPr>
        <w:t>Administrator</w:t>
      </w:r>
      <w:r w:rsidRPr="009F6816">
        <w:rPr>
          <w:sz w:val="20"/>
          <w:szCs w:val="20"/>
        </w:rPr>
        <w:t>.</w:t>
      </w:r>
      <w:proofErr w:type="gramEnd"/>
      <w:r w:rsidRPr="009F6816">
        <w:rPr>
          <w:sz w:val="20"/>
          <w:szCs w:val="20"/>
        </w:rPr>
        <w:t xml:space="preserve"> Pre-clearance is required for such transactions because Company securities held in a margin account may be sold by the broker without the customer</w:t>
      </w:r>
      <w:r w:rsidR="008F34DE" w:rsidRPr="009F6816">
        <w:rPr>
          <w:sz w:val="20"/>
          <w:szCs w:val="20"/>
        </w:rPr>
        <w:t>’</w:t>
      </w:r>
      <w:r w:rsidRPr="009F6816">
        <w:rPr>
          <w:sz w:val="20"/>
          <w:szCs w:val="20"/>
        </w:rPr>
        <w:t xml:space="preserve">s consent if the customer fails to meet a margin call and Company securities pledged (or hypothecated) as collateral for a loan may be sold in foreclosure if the borrower defaults on the loan. Any Company director, officer or employee, or their Family Members </w:t>
      </w:r>
      <w:r w:rsidR="0080121F" w:rsidRPr="009F6816">
        <w:rPr>
          <w:sz w:val="20"/>
          <w:szCs w:val="20"/>
        </w:rPr>
        <w:t>or</w:t>
      </w:r>
      <w:r w:rsidRPr="009F6816">
        <w:rPr>
          <w:sz w:val="20"/>
          <w:szCs w:val="20"/>
        </w:rPr>
        <w:t xml:space="preserve"> Controlled Entities, preparing to pledge Company securities or hold such securities in a margin account must submit a request for approval to the</w:t>
      </w:r>
      <w:r w:rsidR="00130750" w:rsidRPr="009F6816">
        <w:rPr>
          <w:sz w:val="20"/>
          <w:szCs w:val="20"/>
        </w:rPr>
        <w:t xml:space="preserve"> </w:t>
      </w:r>
      <w:r w:rsidR="0049172F" w:rsidRPr="009F6816">
        <w:rPr>
          <w:sz w:val="20"/>
          <w:szCs w:val="20"/>
        </w:rPr>
        <w:t>Administrator</w:t>
      </w:r>
      <w:r w:rsidRPr="009F6816">
        <w:rPr>
          <w:sz w:val="20"/>
          <w:szCs w:val="20"/>
        </w:rPr>
        <w:t xml:space="preserve"> at least two weeks prior to the proposed execution of documents evidencing the proposed pledge or margin account. In its request, such Company director, officer or employee, or their Family Members </w:t>
      </w:r>
      <w:r w:rsidR="0080121F" w:rsidRPr="009F6816">
        <w:rPr>
          <w:sz w:val="20"/>
          <w:szCs w:val="20"/>
        </w:rPr>
        <w:t>or</w:t>
      </w:r>
      <w:r w:rsidRPr="009F6816">
        <w:rPr>
          <w:sz w:val="20"/>
          <w:szCs w:val="20"/>
        </w:rPr>
        <w:t xml:space="preserve"> Controlled Entities, shall:</w:t>
      </w:r>
    </w:p>
    <w:p w:rsidR="005C0CCE" w:rsidRPr="009F6816" w:rsidRDefault="005C0CCE" w:rsidP="000C6C6B">
      <w:pPr>
        <w:ind w:firstLine="720"/>
        <w:jc w:val="both"/>
        <w:rPr>
          <w:sz w:val="20"/>
          <w:szCs w:val="20"/>
        </w:rPr>
      </w:pPr>
    </w:p>
    <w:p w:rsidR="005C0CCE" w:rsidRPr="009F6816" w:rsidRDefault="0019094D" w:rsidP="000554EA">
      <w:pPr>
        <w:pStyle w:val="ListBullet2"/>
        <w:tabs>
          <w:tab w:val="clear" w:pos="1440"/>
          <w:tab w:val="left" w:pos="1260"/>
        </w:tabs>
        <w:ind w:left="1080" w:hanging="360"/>
        <w:rPr>
          <w:sz w:val="20"/>
          <w:szCs w:val="20"/>
        </w:rPr>
      </w:pPr>
      <w:r w:rsidRPr="009F6816">
        <w:rPr>
          <w:sz w:val="20"/>
          <w:szCs w:val="20"/>
        </w:rPr>
        <w:t>enclose copies of the governing documents evidencing the proposed pledge or margin account, which governing documents must provide such person with the opportunity to substitute or provide additional collateral or to repay the loan before the pledged Company securities may be sold; and</w:t>
      </w:r>
    </w:p>
    <w:p w:rsidR="00135B51" w:rsidRPr="009F6816" w:rsidRDefault="0019094D" w:rsidP="000554EA">
      <w:pPr>
        <w:pStyle w:val="ListBullet2"/>
        <w:tabs>
          <w:tab w:val="clear" w:pos="1440"/>
          <w:tab w:val="left" w:pos="1260"/>
        </w:tabs>
        <w:ind w:left="1080" w:hanging="360"/>
        <w:rPr>
          <w:sz w:val="20"/>
          <w:szCs w:val="20"/>
        </w:rPr>
      </w:pPr>
      <w:proofErr w:type="gramStart"/>
      <w:r w:rsidRPr="009F6816">
        <w:rPr>
          <w:sz w:val="20"/>
          <w:szCs w:val="20"/>
        </w:rPr>
        <w:t xml:space="preserve">undertake to the Company (in form and manner satisfactory to the </w:t>
      </w:r>
      <w:r w:rsidR="003851E6" w:rsidRPr="009F6816">
        <w:rPr>
          <w:sz w:val="20"/>
          <w:szCs w:val="20"/>
        </w:rPr>
        <w:t xml:space="preserve">Administrator and the </w:t>
      </w:r>
      <w:r w:rsidRPr="009F6816">
        <w:rPr>
          <w:sz w:val="20"/>
          <w:szCs w:val="20"/>
        </w:rPr>
        <w:t>Company) (</w:t>
      </w:r>
      <w:proofErr w:type="spellStart"/>
      <w:r w:rsidRPr="009F6816">
        <w:rPr>
          <w:sz w:val="20"/>
          <w:szCs w:val="20"/>
        </w:rPr>
        <w:t>i</w:t>
      </w:r>
      <w:proofErr w:type="spellEnd"/>
      <w:r w:rsidRPr="009F6816">
        <w:rPr>
          <w:sz w:val="20"/>
          <w:szCs w:val="20"/>
        </w:rPr>
        <w:t xml:space="preserve">) to maintain adequate financial capacity to repay the loan or cover the margin call, as applicable, without resort to the pledged Company securities </w:t>
      </w:r>
      <w:r w:rsidR="003851E6" w:rsidRPr="009F6816">
        <w:rPr>
          <w:sz w:val="20"/>
          <w:szCs w:val="20"/>
        </w:rPr>
        <w:t xml:space="preserve">and </w:t>
      </w:r>
      <w:r w:rsidRPr="009F6816">
        <w:rPr>
          <w:sz w:val="20"/>
          <w:szCs w:val="20"/>
        </w:rPr>
        <w:t xml:space="preserve">(ii) to substitute or provide additional collateral or repay the loan in the event of a borrower default or margin call, as applicable, at a time when such person is aware of </w:t>
      </w:r>
      <w:r w:rsidR="0080121F" w:rsidRPr="009F6816">
        <w:rPr>
          <w:sz w:val="20"/>
          <w:szCs w:val="20"/>
        </w:rPr>
        <w:t>Inside Information</w:t>
      </w:r>
      <w:r w:rsidRPr="009F6816">
        <w:rPr>
          <w:sz w:val="20"/>
          <w:szCs w:val="20"/>
        </w:rPr>
        <w:t xml:space="preserve"> or otherwise is not permitted to trade Company securities </w:t>
      </w:r>
      <w:r w:rsidR="0080121F" w:rsidRPr="009F6816">
        <w:rPr>
          <w:sz w:val="20"/>
          <w:szCs w:val="20"/>
        </w:rPr>
        <w:t>due to a blackout period</w:t>
      </w:r>
      <w:r w:rsidRPr="009F6816">
        <w:rPr>
          <w:sz w:val="20"/>
          <w:szCs w:val="20"/>
        </w:rPr>
        <w:t>.</w:t>
      </w:r>
      <w:proofErr w:type="gramEnd"/>
    </w:p>
    <w:p w:rsidR="00EF5660" w:rsidRPr="009F6816" w:rsidRDefault="00EF5660" w:rsidP="002D37BF">
      <w:pPr>
        <w:spacing w:after="240"/>
        <w:ind w:firstLine="720"/>
        <w:jc w:val="both"/>
        <w:rPr>
          <w:sz w:val="20"/>
          <w:szCs w:val="20"/>
        </w:rPr>
      </w:pPr>
      <w:r w:rsidRPr="009F6816">
        <w:rPr>
          <w:sz w:val="20"/>
          <w:szCs w:val="20"/>
        </w:rPr>
        <w:t xml:space="preserve">The above is not meant to restrict the </w:t>
      </w:r>
      <w:proofErr w:type="spellStart"/>
      <w:r w:rsidRPr="009F6816">
        <w:rPr>
          <w:sz w:val="20"/>
          <w:szCs w:val="20"/>
        </w:rPr>
        <w:t>rehypothecation</w:t>
      </w:r>
      <w:proofErr w:type="spellEnd"/>
      <w:r w:rsidRPr="009F6816">
        <w:rPr>
          <w:sz w:val="20"/>
          <w:szCs w:val="20"/>
        </w:rPr>
        <w:t xml:space="preserve"> or lending of securities held in a brokerage account</w:t>
      </w:r>
      <w:r w:rsidR="00B9448A" w:rsidRPr="009F6816">
        <w:rPr>
          <w:sz w:val="20"/>
          <w:szCs w:val="20"/>
        </w:rPr>
        <w:t>;</w:t>
      </w:r>
      <w:r w:rsidRPr="009F6816">
        <w:rPr>
          <w:sz w:val="20"/>
          <w:szCs w:val="20"/>
        </w:rPr>
        <w:t xml:space="preserve"> </w:t>
      </w:r>
      <w:proofErr w:type="gramStart"/>
      <w:r w:rsidRPr="009F6816">
        <w:rPr>
          <w:sz w:val="20"/>
          <w:szCs w:val="20"/>
          <w:u w:val="single"/>
        </w:rPr>
        <w:t>provided</w:t>
      </w:r>
      <w:r w:rsidRPr="009F6816">
        <w:rPr>
          <w:sz w:val="20"/>
          <w:szCs w:val="20"/>
        </w:rPr>
        <w:t xml:space="preserve"> that</w:t>
      </w:r>
      <w:proofErr w:type="gramEnd"/>
      <w:r w:rsidRPr="009F6816">
        <w:rPr>
          <w:sz w:val="20"/>
          <w:szCs w:val="20"/>
        </w:rPr>
        <w:t xml:space="preserve"> the s</w:t>
      </w:r>
      <w:r w:rsidR="00EA14E5" w:rsidRPr="009F6816">
        <w:rPr>
          <w:sz w:val="20"/>
          <w:szCs w:val="20"/>
        </w:rPr>
        <w:t>ecurities</w:t>
      </w:r>
      <w:r w:rsidRPr="009F6816">
        <w:rPr>
          <w:sz w:val="20"/>
          <w:szCs w:val="20"/>
        </w:rPr>
        <w:t xml:space="preserve"> are permitted to be held in such account in accordance with this </w:t>
      </w:r>
      <w:r w:rsidR="00B9448A" w:rsidRPr="009F6816">
        <w:rPr>
          <w:sz w:val="20"/>
          <w:szCs w:val="20"/>
        </w:rPr>
        <w:t>P</w:t>
      </w:r>
      <w:r w:rsidRPr="009F6816">
        <w:rPr>
          <w:sz w:val="20"/>
          <w:szCs w:val="20"/>
        </w:rPr>
        <w:t>olicy.</w:t>
      </w:r>
    </w:p>
    <w:p w:rsidR="000C6C6B" w:rsidRPr="009F6816" w:rsidRDefault="000C6C6B" w:rsidP="007434BE">
      <w:pPr>
        <w:pStyle w:val="ListParagraph"/>
        <w:numPr>
          <w:ilvl w:val="0"/>
          <w:numId w:val="43"/>
        </w:numPr>
        <w:ind w:left="720"/>
        <w:rPr>
          <w:rFonts w:ascii="Times New Roman Bold" w:hAnsi="Times New Roman Bold"/>
          <w:b/>
          <w:caps/>
          <w:sz w:val="20"/>
          <w:szCs w:val="20"/>
          <w:u w:val="single"/>
        </w:rPr>
      </w:pPr>
      <w:r w:rsidRPr="009F6816">
        <w:rPr>
          <w:rFonts w:ascii="Times New Roman Bold" w:hAnsi="Times New Roman Bold"/>
          <w:b/>
          <w:caps/>
          <w:sz w:val="20"/>
          <w:szCs w:val="20"/>
          <w:u w:val="single"/>
        </w:rPr>
        <w:t>Additional Procedures</w:t>
      </w:r>
    </w:p>
    <w:p w:rsidR="000C6C6B" w:rsidRPr="009F6816" w:rsidRDefault="000C6C6B" w:rsidP="000C6C6B">
      <w:pPr>
        <w:rPr>
          <w:sz w:val="20"/>
          <w:szCs w:val="20"/>
        </w:rPr>
      </w:pPr>
    </w:p>
    <w:p w:rsidR="000C6C6B" w:rsidRPr="009F6816" w:rsidRDefault="000C6C6B" w:rsidP="000C6C6B">
      <w:pPr>
        <w:ind w:firstLine="720"/>
        <w:jc w:val="both"/>
        <w:rPr>
          <w:sz w:val="20"/>
          <w:szCs w:val="20"/>
        </w:rPr>
      </w:pPr>
      <w:r w:rsidRPr="009F6816">
        <w:rPr>
          <w:sz w:val="20"/>
          <w:szCs w:val="20"/>
        </w:rPr>
        <w:t xml:space="preserve">The Company has established additional procedures in order to assist the Company in the administration of this </w:t>
      </w:r>
      <w:r w:rsidR="00B9448A" w:rsidRPr="009F6816">
        <w:rPr>
          <w:sz w:val="20"/>
          <w:szCs w:val="20"/>
        </w:rPr>
        <w:t>P</w:t>
      </w:r>
      <w:r w:rsidR="00D44070" w:rsidRPr="009F6816">
        <w:rPr>
          <w:sz w:val="20"/>
          <w:szCs w:val="20"/>
        </w:rPr>
        <w:t>olicy</w:t>
      </w:r>
      <w:r w:rsidRPr="009F6816">
        <w:rPr>
          <w:sz w:val="20"/>
          <w:szCs w:val="20"/>
        </w:rPr>
        <w:t xml:space="preserve">, to facilitate compliance with laws prohibiting insider trading while in possession of </w:t>
      </w:r>
      <w:r w:rsidR="0019094D" w:rsidRPr="009F6816">
        <w:rPr>
          <w:sz w:val="20"/>
          <w:szCs w:val="20"/>
        </w:rPr>
        <w:t>Inside I</w:t>
      </w:r>
      <w:r w:rsidRPr="009F6816">
        <w:rPr>
          <w:sz w:val="20"/>
          <w:szCs w:val="20"/>
        </w:rPr>
        <w:t>nformation, and to avoid the appearance of any impropriety. These additional procedures are applicable only to those individuals described below.</w:t>
      </w:r>
    </w:p>
    <w:p w:rsidR="000C6C6B" w:rsidRPr="009F6816" w:rsidRDefault="000C6C6B" w:rsidP="000C6C6B">
      <w:pPr>
        <w:jc w:val="both"/>
        <w:rPr>
          <w:sz w:val="20"/>
          <w:szCs w:val="20"/>
        </w:rPr>
      </w:pPr>
    </w:p>
    <w:p w:rsidR="00FA25F8" w:rsidRPr="009F6816" w:rsidRDefault="000C6C6B" w:rsidP="00FA25F8">
      <w:pPr>
        <w:pStyle w:val="ListParagraph"/>
        <w:numPr>
          <w:ilvl w:val="0"/>
          <w:numId w:val="46"/>
        </w:numPr>
        <w:jc w:val="both"/>
        <w:rPr>
          <w:sz w:val="20"/>
          <w:szCs w:val="20"/>
        </w:rPr>
      </w:pPr>
      <w:r w:rsidRPr="009F6816">
        <w:rPr>
          <w:b/>
          <w:i/>
          <w:sz w:val="20"/>
          <w:szCs w:val="20"/>
        </w:rPr>
        <w:t>Pre-Clearance Procedures</w:t>
      </w:r>
    </w:p>
    <w:p w:rsidR="00F9162E" w:rsidRPr="009F6816" w:rsidRDefault="00F9162E" w:rsidP="00F9162E">
      <w:pPr>
        <w:pStyle w:val="ListParagraph"/>
        <w:ind w:left="1080"/>
        <w:jc w:val="both"/>
        <w:rPr>
          <w:sz w:val="20"/>
          <w:szCs w:val="20"/>
        </w:rPr>
      </w:pPr>
    </w:p>
    <w:p w:rsidR="000C6C6B" w:rsidRPr="009F6816" w:rsidRDefault="0019094D" w:rsidP="00FA25F8">
      <w:pPr>
        <w:ind w:firstLine="720"/>
        <w:jc w:val="both"/>
        <w:rPr>
          <w:sz w:val="20"/>
          <w:szCs w:val="20"/>
        </w:rPr>
      </w:pPr>
      <w:proofErr w:type="gramStart"/>
      <w:r w:rsidRPr="009F6816">
        <w:rPr>
          <w:sz w:val="20"/>
          <w:szCs w:val="20"/>
        </w:rPr>
        <w:t>Section 16 Reporting Persons and Designated Individuals, as well as their Family Members and Controlled Entities</w:t>
      </w:r>
      <w:r w:rsidR="000C6C6B" w:rsidRPr="009F6816">
        <w:rPr>
          <w:sz w:val="20"/>
          <w:szCs w:val="20"/>
        </w:rPr>
        <w:t xml:space="preserve">, may not engage in any transaction in Company securities without first obtaining pre-clearance of the transaction from the </w:t>
      </w:r>
      <w:r w:rsidR="0049172F" w:rsidRPr="009F6816">
        <w:rPr>
          <w:sz w:val="20"/>
          <w:szCs w:val="20"/>
        </w:rPr>
        <w:t>Administrator</w:t>
      </w:r>
      <w:r w:rsidR="00323F75" w:rsidRPr="009F6816">
        <w:rPr>
          <w:sz w:val="20"/>
          <w:szCs w:val="20"/>
        </w:rPr>
        <w:t xml:space="preserve"> </w:t>
      </w:r>
      <w:r w:rsidR="008B6651" w:rsidRPr="009F6816">
        <w:rPr>
          <w:sz w:val="20"/>
          <w:szCs w:val="20"/>
        </w:rPr>
        <w:t xml:space="preserve">and the legal counsel of the Company </w:t>
      </w:r>
      <w:r w:rsidR="00323F75" w:rsidRPr="009F6816">
        <w:rPr>
          <w:sz w:val="20"/>
          <w:szCs w:val="20"/>
        </w:rPr>
        <w:t xml:space="preserve">in order to determine compliance with this </w:t>
      </w:r>
      <w:r w:rsidR="00B9448A" w:rsidRPr="009F6816">
        <w:rPr>
          <w:sz w:val="20"/>
          <w:szCs w:val="20"/>
        </w:rPr>
        <w:t>P</w:t>
      </w:r>
      <w:r w:rsidR="00323F75" w:rsidRPr="009F6816">
        <w:rPr>
          <w:sz w:val="20"/>
          <w:szCs w:val="20"/>
        </w:rPr>
        <w:t>olicy, insider trading laws, Section 16 of the Exchange Act and Rule 144 promulgated under the Securities Act of 1933, as amended (“</w:t>
      </w:r>
      <w:r w:rsidR="00323F75" w:rsidRPr="009F6816">
        <w:rPr>
          <w:b/>
          <w:i/>
          <w:sz w:val="20"/>
          <w:szCs w:val="20"/>
        </w:rPr>
        <w:t>Rule 144</w:t>
      </w:r>
      <w:r w:rsidR="00323F75" w:rsidRPr="009F6816">
        <w:rPr>
          <w:sz w:val="20"/>
          <w:szCs w:val="20"/>
        </w:rPr>
        <w:t>”)</w:t>
      </w:r>
      <w:r w:rsidR="000C6C6B" w:rsidRPr="009F6816">
        <w:rPr>
          <w:sz w:val="20"/>
          <w:szCs w:val="20"/>
        </w:rPr>
        <w:t>.</w:t>
      </w:r>
      <w:proofErr w:type="gramEnd"/>
      <w:r w:rsidR="00DC0B23" w:rsidRPr="009F6816">
        <w:rPr>
          <w:sz w:val="20"/>
          <w:szCs w:val="20"/>
        </w:rPr>
        <w:t xml:space="preserve"> </w:t>
      </w:r>
      <w:r w:rsidR="000C6C6B" w:rsidRPr="009F6816">
        <w:rPr>
          <w:sz w:val="20"/>
          <w:szCs w:val="20"/>
        </w:rPr>
        <w:t xml:space="preserve">A </w:t>
      </w:r>
      <w:r w:rsidR="00EA4F4F" w:rsidRPr="009F6816">
        <w:rPr>
          <w:sz w:val="20"/>
          <w:szCs w:val="20"/>
        </w:rPr>
        <w:t xml:space="preserve">person </w:t>
      </w:r>
      <w:r w:rsidR="000C6C6B" w:rsidRPr="009F6816">
        <w:rPr>
          <w:sz w:val="20"/>
          <w:szCs w:val="20"/>
        </w:rPr>
        <w:t>request</w:t>
      </w:r>
      <w:r w:rsidR="00EA4F4F" w:rsidRPr="009F6816">
        <w:rPr>
          <w:sz w:val="20"/>
          <w:szCs w:val="20"/>
        </w:rPr>
        <w:t>ing</w:t>
      </w:r>
      <w:r w:rsidR="000C6C6B" w:rsidRPr="009F6816">
        <w:rPr>
          <w:sz w:val="20"/>
          <w:szCs w:val="20"/>
        </w:rPr>
        <w:t xml:space="preserve"> pre-clearance should submit</w:t>
      </w:r>
      <w:r w:rsidR="00EA4F4F" w:rsidRPr="009F6816">
        <w:rPr>
          <w:sz w:val="20"/>
          <w:szCs w:val="20"/>
        </w:rPr>
        <w:t xml:space="preserve"> the request</w:t>
      </w:r>
      <w:r w:rsidR="000C6C6B" w:rsidRPr="009F6816">
        <w:rPr>
          <w:sz w:val="20"/>
          <w:szCs w:val="20"/>
        </w:rPr>
        <w:t xml:space="preserve"> to the </w:t>
      </w:r>
      <w:r w:rsidR="0049172F" w:rsidRPr="009F6816">
        <w:rPr>
          <w:sz w:val="20"/>
          <w:szCs w:val="20"/>
        </w:rPr>
        <w:t>Administrator</w:t>
      </w:r>
      <w:r w:rsidR="00EA4F4F" w:rsidRPr="009F6816">
        <w:rPr>
          <w:sz w:val="20"/>
          <w:szCs w:val="20"/>
        </w:rPr>
        <w:t xml:space="preserve"> </w:t>
      </w:r>
      <w:r w:rsidR="00AE7B68" w:rsidRPr="009F6816">
        <w:rPr>
          <w:sz w:val="20"/>
          <w:szCs w:val="20"/>
        </w:rPr>
        <w:t xml:space="preserve">and the legal counsel of the Company </w:t>
      </w:r>
      <w:r w:rsidR="00EA4F4F" w:rsidRPr="009F6816">
        <w:rPr>
          <w:sz w:val="20"/>
          <w:szCs w:val="20"/>
        </w:rPr>
        <w:t xml:space="preserve">(and, in the case of a request by the Chief Executive Officer, also notify the </w:t>
      </w:r>
      <w:r w:rsidR="00BA405C" w:rsidRPr="009F6816">
        <w:rPr>
          <w:sz w:val="20"/>
          <w:szCs w:val="20"/>
        </w:rPr>
        <w:t>Chairman of the Nominating and Corporate Governance Committee</w:t>
      </w:r>
      <w:r w:rsidR="0019654B" w:rsidRPr="009F6816">
        <w:rPr>
          <w:sz w:val="20"/>
          <w:szCs w:val="20"/>
        </w:rPr>
        <w:t>)</w:t>
      </w:r>
      <w:r w:rsidR="000C6C6B" w:rsidRPr="009F6816">
        <w:rPr>
          <w:sz w:val="20"/>
          <w:szCs w:val="20"/>
        </w:rPr>
        <w:t xml:space="preserve"> at least two business days in advance of the proposed transaction.</w:t>
      </w:r>
      <w:r w:rsidR="00DC0B23" w:rsidRPr="009F6816">
        <w:rPr>
          <w:sz w:val="20"/>
          <w:szCs w:val="20"/>
        </w:rPr>
        <w:t xml:space="preserve"> </w:t>
      </w:r>
      <w:r w:rsidR="000C6C6B" w:rsidRPr="009F6816">
        <w:rPr>
          <w:sz w:val="20"/>
          <w:szCs w:val="20"/>
        </w:rPr>
        <w:t xml:space="preserve">The </w:t>
      </w:r>
      <w:r w:rsidR="0049172F" w:rsidRPr="009F6816">
        <w:rPr>
          <w:sz w:val="20"/>
          <w:szCs w:val="20"/>
        </w:rPr>
        <w:t>Administrator</w:t>
      </w:r>
      <w:r w:rsidR="000C6C6B" w:rsidRPr="009F6816">
        <w:rPr>
          <w:sz w:val="20"/>
          <w:szCs w:val="20"/>
        </w:rPr>
        <w:t xml:space="preserve"> </w:t>
      </w:r>
      <w:r w:rsidR="006F7FD9" w:rsidRPr="009F6816">
        <w:rPr>
          <w:sz w:val="20"/>
          <w:szCs w:val="20"/>
        </w:rPr>
        <w:t xml:space="preserve">and the legal counsel of the Company </w:t>
      </w:r>
      <w:r w:rsidR="000C6C6B" w:rsidRPr="009F6816">
        <w:rPr>
          <w:sz w:val="20"/>
          <w:szCs w:val="20"/>
        </w:rPr>
        <w:t xml:space="preserve">may </w:t>
      </w:r>
      <w:r w:rsidR="00323F75" w:rsidRPr="009F6816">
        <w:rPr>
          <w:sz w:val="20"/>
          <w:szCs w:val="20"/>
        </w:rPr>
        <w:t xml:space="preserve">determine </w:t>
      </w:r>
      <w:r w:rsidR="000C6C6B" w:rsidRPr="009F6816">
        <w:rPr>
          <w:sz w:val="20"/>
          <w:szCs w:val="20"/>
        </w:rPr>
        <w:t>not to permit the transaction</w:t>
      </w:r>
      <w:r w:rsidR="00323F75" w:rsidRPr="009F6816">
        <w:rPr>
          <w:sz w:val="20"/>
          <w:szCs w:val="20"/>
        </w:rPr>
        <w:t xml:space="preserve"> if it is not in compliance this </w:t>
      </w:r>
      <w:r w:rsidR="00B9448A" w:rsidRPr="009F6816">
        <w:rPr>
          <w:sz w:val="20"/>
          <w:szCs w:val="20"/>
        </w:rPr>
        <w:t>P</w:t>
      </w:r>
      <w:r w:rsidR="00323F75" w:rsidRPr="009F6816">
        <w:rPr>
          <w:sz w:val="20"/>
          <w:szCs w:val="20"/>
        </w:rPr>
        <w:t xml:space="preserve">olicy, </w:t>
      </w:r>
      <w:proofErr w:type="gramStart"/>
      <w:r w:rsidR="00323F75" w:rsidRPr="009F6816">
        <w:rPr>
          <w:sz w:val="20"/>
          <w:szCs w:val="20"/>
        </w:rPr>
        <w:t>insider trading</w:t>
      </w:r>
      <w:proofErr w:type="gramEnd"/>
      <w:r w:rsidR="00323F75" w:rsidRPr="009F6816">
        <w:rPr>
          <w:sz w:val="20"/>
          <w:szCs w:val="20"/>
        </w:rPr>
        <w:t xml:space="preserve"> laws, Section 16 of the Exchange Act or Rule 144</w:t>
      </w:r>
      <w:r w:rsidR="000C6C6B" w:rsidRPr="009F6816">
        <w:rPr>
          <w:sz w:val="20"/>
          <w:szCs w:val="20"/>
        </w:rPr>
        <w:t>.</w:t>
      </w:r>
      <w:r w:rsidR="00DC0B23" w:rsidRPr="009F6816">
        <w:rPr>
          <w:sz w:val="20"/>
          <w:szCs w:val="20"/>
        </w:rPr>
        <w:t xml:space="preserve"> </w:t>
      </w:r>
      <w:r w:rsidR="000C6C6B" w:rsidRPr="009F6816">
        <w:rPr>
          <w:sz w:val="20"/>
          <w:szCs w:val="20"/>
        </w:rPr>
        <w:t xml:space="preserve">If a person seeks pre-clearance and permission to engage in the transaction </w:t>
      </w:r>
      <w:proofErr w:type="gramStart"/>
      <w:r w:rsidR="000C6C6B" w:rsidRPr="009F6816">
        <w:rPr>
          <w:sz w:val="20"/>
          <w:szCs w:val="20"/>
        </w:rPr>
        <w:t>is denied</w:t>
      </w:r>
      <w:proofErr w:type="gramEnd"/>
      <w:r w:rsidR="000C6C6B" w:rsidRPr="009F6816">
        <w:rPr>
          <w:sz w:val="20"/>
          <w:szCs w:val="20"/>
        </w:rPr>
        <w:t>, then he or she should refrain from initiating any transaction in Company securities, and should not inform any other person of the restriction.</w:t>
      </w:r>
    </w:p>
    <w:p w:rsidR="000C6C6B" w:rsidRPr="009F6816" w:rsidRDefault="000C6C6B" w:rsidP="000C6C6B">
      <w:pPr>
        <w:jc w:val="both"/>
        <w:rPr>
          <w:sz w:val="20"/>
          <w:szCs w:val="20"/>
        </w:rPr>
      </w:pPr>
    </w:p>
    <w:p w:rsidR="000C6C6B" w:rsidRPr="009F6816" w:rsidRDefault="000C6C6B" w:rsidP="000C6C6B">
      <w:pPr>
        <w:ind w:firstLine="720"/>
        <w:jc w:val="both"/>
        <w:rPr>
          <w:sz w:val="20"/>
          <w:szCs w:val="20"/>
        </w:rPr>
      </w:pPr>
      <w:r w:rsidRPr="009F6816">
        <w:rPr>
          <w:sz w:val="20"/>
          <w:szCs w:val="20"/>
        </w:rPr>
        <w:t xml:space="preserve">When a request for pre-clearance </w:t>
      </w:r>
      <w:proofErr w:type="gramStart"/>
      <w:r w:rsidRPr="009F6816">
        <w:rPr>
          <w:sz w:val="20"/>
          <w:szCs w:val="20"/>
        </w:rPr>
        <w:t>is made</w:t>
      </w:r>
      <w:proofErr w:type="gramEnd"/>
      <w:r w:rsidRPr="009F6816">
        <w:rPr>
          <w:sz w:val="20"/>
          <w:szCs w:val="20"/>
        </w:rPr>
        <w:t xml:space="preserve">, the requestor should carefully consider whether he or she may be aware of any </w:t>
      </w:r>
      <w:r w:rsidR="0019094D" w:rsidRPr="009F6816">
        <w:rPr>
          <w:sz w:val="20"/>
          <w:szCs w:val="20"/>
        </w:rPr>
        <w:t>Inside I</w:t>
      </w:r>
      <w:r w:rsidRPr="009F6816">
        <w:rPr>
          <w:sz w:val="20"/>
          <w:szCs w:val="20"/>
        </w:rPr>
        <w:t xml:space="preserve">nformation about the Company, and should describe fully those circumstances to the </w:t>
      </w:r>
      <w:r w:rsidR="0049172F" w:rsidRPr="009F6816">
        <w:rPr>
          <w:sz w:val="20"/>
          <w:szCs w:val="20"/>
        </w:rPr>
        <w:t>Administrator</w:t>
      </w:r>
      <w:r w:rsidR="004B629F" w:rsidRPr="009F6816">
        <w:rPr>
          <w:sz w:val="20"/>
          <w:szCs w:val="20"/>
        </w:rPr>
        <w:t xml:space="preserve"> and the legal counsel of the Company</w:t>
      </w:r>
      <w:r w:rsidRPr="009F6816">
        <w:rPr>
          <w:sz w:val="20"/>
          <w:szCs w:val="20"/>
        </w:rPr>
        <w:t xml:space="preserve">. </w:t>
      </w:r>
      <w:r w:rsidR="00ED0D10" w:rsidRPr="009F6816">
        <w:rPr>
          <w:sz w:val="20"/>
          <w:szCs w:val="20"/>
        </w:rPr>
        <w:t>If the requestor is a Section 16 insider, t</w:t>
      </w:r>
      <w:r w:rsidRPr="009F6816">
        <w:rPr>
          <w:sz w:val="20"/>
          <w:szCs w:val="20"/>
        </w:rPr>
        <w:t xml:space="preserve">he requestor should also indicate whether he or she has effected any non-exempt </w:t>
      </w:r>
      <w:r w:rsidR="008F34DE" w:rsidRPr="009F6816">
        <w:rPr>
          <w:sz w:val="20"/>
          <w:szCs w:val="20"/>
        </w:rPr>
        <w:t>“</w:t>
      </w:r>
      <w:r w:rsidRPr="009F6816">
        <w:rPr>
          <w:sz w:val="20"/>
          <w:szCs w:val="20"/>
        </w:rPr>
        <w:t>opposite-way</w:t>
      </w:r>
      <w:r w:rsidR="008F34DE" w:rsidRPr="009F6816">
        <w:rPr>
          <w:sz w:val="20"/>
          <w:szCs w:val="20"/>
        </w:rPr>
        <w:t>”</w:t>
      </w:r>
      <w:r w:rsidRPr="009F6816">
        <w:rPr>
          <w:sz w:val="20"/>
          <w:szCs w:val="20"/>
        </w:rPr>
        <w:t xml:space="preserve"> transactions within the past six months, and should be prepared to report the proposed transaction on an appropriate Form 4 or Form 5. The requestor should also be prepared to comply with Rule 144 and file Form 144, if necessary, at the time of any sale.</w:t>
      </w:r>
    </w:p>
    <w:p w:rsidR="000C6C6B" w:rsidRPr="009F6816" w:rsidRDefault="000C6C6B" w:rsidP="000C6C6B">
      <w:pPr>
        <w:jc w:val="both"/>
        <w:rPr>
          <w:sz w:val="20"/>
          <w:szCs w:val="20"/>
        </w:rPr>
      </w:pPr>
    </w:p>
    <w:p w:rsidR="00F9162E" w:rsidRPr="009F6816" w:rsidRDefault="00ED0D10" w:rsidP="00F9162E">
      <w:pPr>
        <w:pStyle w:val="ListParagraph"/>
        <w:numPr>
          <w:ilvl w:val="0"/>
          <w:numId w:val="46"/>
        </w:numPr>
        <w:jc w:val="both"/>
        <w:rPr>
          <w:sz w:val="20"/>
          <w:szCs w:val="20"/>
        </w:rPr>
      </w:pPr>
      <w:r w:rsidRPr="009F6816">
        <w:rPr>
          <w:b/>
          <w:i/>
          <w:sz w:val="20"/>
          <w:szCs w:val="20"/>
        </w:rPr>
        <w:t>Special Blackout</w:t>
      </w:r>
      <w:r w:rsidR="000C6C6B" w:rsidRPr="009F6816">
        <w:rPr>
          <w:b/>
          <w:i/>
          <w:sz w:val="20"/>
          <w:szCs w:val="20"/>
        </w:rPr>
        <w:t xml:space="preserve"> Periods</w:t>
      </w:r>
    </w:p>
    <w:p w:rsidR="00F9162E" w:rsidRPr="009F6816" w:rsidRDefault="00F9162E" w:rsidP="00F9162E">
      <w:pPr>
        <w:jc w:val="both"/>
        <w:rPr>
          <w:sz w:val="20"/>
          <w:szCs w:val="20"/>
        </w:rPr>
      </w:pPr>
    </w:p>
    <w:p w:rsidR="000C6C6B" w:rsidRPr="009F6816" w:rsidRDefault="000C6C6B" w:rsidP="00F9162E">
      <w:pPr>
        <w:ind w:firstLine="720"/>
        <w:jc w:val="both"/>
        <w:rPr>
          <w:sz w:val="20"/>
          <w:szCs w:val="20"/>
        </w:rPr>
      </w:pPr>
      <w:r w:rsidRPr="009F6816">
        <w:rPr>
          <w:sz w:val="20"/>
          <w:szCs w:val="20"/>
        </w:rPr>
        <w:t xml:space="preserve">From time to time, an event may occur that is material to the Company and </w:t>
      </w:r>
      <w:proofErr w:type="gramStart"/>
      <w:r w:rsidRPr="009F6816">
        <w:rPr>
          <w:sz w:val="20"/>
          <w:szCs w:val="20"/>
        </w:rPr>
        <w:t>is known</w:t>
      </w:r>
      <w:proofErr w:type="gramEnd"/>
      <w:r w:rsidRPr="009F6816">
        <w:rPr>
          <w:sz w:val="20"/>
          <w:szCs w:val="20"/>
        </w:rPr>
        <w:t xml:space="preserve"> by only a few directors, officers and/or employees. So long as the event remains material and nonpublic, the persons </w:t>
      </w:r>
      <w:r w:rsidR="00B9448A" w:rsidRPr="009F6816">
        <w:rPr>
          <w:sz w:val="20"/>
          <w:szCs w:val="20"/>
        </w:rPr>
        <w:t xml:space="preserve">with knowledge of the event who </w:t>
      </w:r>
      <w:proofErr w:type="gramStart"/>
      <w:r w:rsidR="00B9448A" w:rsidRPr="009F6816">
        <w:rPr>
          <w:sz w:val="20"/>
          <w:szCs w:val="20"/>
        </w:rPr>
        <w:t xml:space="preserve">are </w:t>
      </w:r>
      <w:r w:rsidRPr="009F6816">
        <w:rPr>
          <w:sz w:val="20"/>
          <w:szCs w:val="20"/>
        </w:rPr>
        <w:t>designated</w:t>
      </w:r>
      <w:proofErr w:type="gramEnd"/>
      <w:r w:rsidRPr="009F6816">
        <w:rPr>
          <w:sz w:val="20"/>
          <w:szCs w:val="20"/>
        </w:rPr>
        <w:t xml:space="preserve"> by the </w:t>
      </w:r>
      <w:r w:rsidR="0049172F" w:rsidRPr="009F6816">
        <w:rPr>
          <w:sz w:val="20"/>
          <w:szCs w:val="20"/>
        </w:rPr>
        <w:t>Administrator</w:t>
      </w:r>
      <w:r w:rsidRPr="009F6816">
        <w:rPr>
          <w:sz w:val="20"/>
          <w:szCs w:val="20"/>
        </w:rPr>
        <w:t xml:space="preserve"> may not trade Company securities. In that situation, the </w:t>
      </w:r>
      <w:r w:rsidR="0049172F" w:rsidRPr="009F6816">
        <w:rPr>
          <w:sz w:val="20"/>
          <w:szCs w:val="20"/>
        </w:rPr>
        <w:t>Administrator</w:t>
      </w:r>
      <w:r w:rsidRPr="009F6816">
        <w:rPr>
          <w:sz w:val="20"/>
          <w:szCs w:val="20"/>
        </w:rPr>
        <w:t xml:space="preserve"> may notify these persons that they should not trade in the Company</w:t>
      </w:r>
      <w:r w:rsidR="008F34DE" w:rsidRPr="009F6816">
        <w:rPr>
          <w:sz w:val="20"/>
          <w:szCs w:val="20"/>
        </w:rPr>
        <w:t>’</w:t>
      </w:r>
      <w:r w:rsidRPr="009F6816">
        <w:rPr>
          <w:sz w:val="20"/>
          <w:szCs w:val="20"/>
        </w:rPr>
        <w:t xml:space="preserve">s securities, without disclosing the reason for the restriction. The existence of an event-specific </w:t>
      </w:r>
      <w:r w:rsidR="00ED0D10" w:rsidRPr="009F6816">
        <w:rPr>
          <w:sz w:val="20"/>
          <w:szCs w:val="20"/>
        </w:rPr>
        <w:t>blac</w:t>
      </w:r>
      <w:r w:rsidR="00D44070" w:rsidRPr="009F6816">
        <w:rPr>
          <w:sz w:val="20"/>
          <w:szCs w:val="20"/>
        </w:rPr>
        <w:t>k</w:t>
      </w:r>
      <w:r w:rsidR="00ED0D10" w:rsidRPr="009F6816">
        <w:rPr>
          <w:sz w:val="20"/>
          <w:szCs w:val="20"/>
        </w:rPr>
        <w:t>out</w:t>
      </w:r>
      <w:r w:rsidRPr="009F6816">
        <w:rPr>
          <w:sz w:val="20"/>
          <w:szCs w:val="20"/>
        </w:rPr>
        <w:t xml:space="preserve"> period or extension of a </w:t>
      </w:r>
      <w:r w:rsidR="00ED0D10" w:rsidRPr="009F6816">
        <w:rPr>
          <w:sz w:val="20"/>
          <w:szCs w:val="20"/>
        </w:rPr>
        <w:t>b</w:t>
      </w:r>
      <w:r w:rsidRPr="009F6816">
        <w:rPr>
          <w:sz w:val="20"/>
          <w:szCs w:val="20"/>
        </w:rPr>
        <w:t xml:space="preserve">lackout </w:t>
      </w:r>
      <w:r w:rsidR="00ED0D10" w:rsidRPr="009F6816">
        <w:rPr>
          <w:sz w:val="20"/>
          <w:szCs w:val="20"/>
        </w:rPr>
        <w:t>p</w:t>
      </w:r>
      <w:r w:rsidRPr="009F6816">
        <w:rPr>
          <w:sz w:val="20"/>
          <w:szCs w:val="20"/>
        </w:rPr>
        <w:t xml:space="preserve">eriod </w:t>
      </w:r>
      <w:proofErr w:type="gramStart"/>
      <w:r w:rsidR="00ED0D10" w:rsidRPr="009F6816">
        <w:rPr>
          <w:sz w:val="20"/>
          <w:szCs w:val="20"/>
        </w:rPr>
        <w:t>may</w:t>
      </w:r>
      <w:r w:rsidRPr="009F6816">
        <w:rPr>
          <w:sz w:val="20"/>
          <w:szCs w:val="20"/>
        </w:rPr>
        <w:t xml:space="preserve"> not be announced</w:t>
      </w:r>
      <w:proofErr w:type="gramEnd"/>
      <w:r w:rsidRPr="009F6816">
        <w:rPr>
          <w:sz w:val="20"/>
          <w:szCs w:val="20"/>
        </w:rPr>
        <w:t xml:space="preserve"> to the Company as a whole, and should not be communicated to any other person. Even if the </w:t>
      </w:r>
      <w:r w:rsidR="0049172F" w:rsidRPr="009F6816">
        <w:rPr>
          <w:sz w:val="20"/>
          <w:szCs w:val="20"/>
        </w:rPr>
        <w:t>Administrator</w:t>
      </w:r>
      <w:r w:rsidRPr="009F6816">
        <w:rPr>
          <w:sz w:val="20"/>
          <w:szCs w:val="20"/>
        </w:rPr>
        <w:t xml:space="preserve"> has not designated you as a person who should not trade due to an event-specific restriction, you should not trade while aware of </w:t>
      </w:r>
      <w:r w:rsidR="00697E51" w:rsidRPr="009F6816">
        <w:rPr>
          <w:sz w:val="20"/>
          <w:szCs w:val="20"/>
        </w:rPr>
        <w:t>Inside I</w:t>
      </w:r>
      <w:r w:rsidRPr="009F6816">
        <w:rPr>
          <w:sz w:val="20"/>
          <w:szCs w:val="20"/>
        </w:rPr>
        <w:t xml:space="preserve">nformation. </w:t>
      </w:r>
    </w:p>
    <w:p w:rsidR="000C6C6B" w:rsidRPr="009F6816" w:rsidRDefault="000C6C6B" w:rsidP="000C6C6B">
      <w:pPr>
        <w:jc w:val="both"/>
        <w:rPr>
          <w:sz w:val="20"/>
          <w:szCs w:val="20"/>
        </w:rPr>
      </w:pPr>
    </w:p>
    <w:p w:rsidR="000C6C6B" w:rsidRPr="009F6816" w:rsidRDefault="000C6C6B" w:rsidP="00FA25F8">
      <w:pPr>
        <w:pStyle w:val="BTF1"/>
        <w:numPr>
          <w:ilvl w:val="0"/>
          <w:numId w:val="43"/>
        </w:numPr>
        <w:tabs>
          <w:tab w:val="clear" w:pos="1440"/>
          <w:tab w:val="left" w:pos="1350"/>
        </w:tabs>
        <w:ind w:left="720"/>
        <w:rPr>
          <w:rFonts w:ascii="Times New Roman Bold" w:hAnsi="Times New Roman Bold"/>
          <w:b/>
          <w:caps/>
          <w:sz w:val="20"/>
          <w:szCs w:val="20"/>
          <w:u w:val="single"/>
        </w:rPr>
      </w:pPr>
      <w:r w:rsidRPr="009F6816">
        <w:rPr>
          <w:rFonts w:ascii="Times New Roman Bold" w:hAnsi="Times New Roman Bold"/>
          <w:b/>
          <w:caps/>
          <w:sz w:val="20"/>
          <w:szCs w:val="20"/>
          <w:u w:val="single"/>
        </w:rPr>
        <w:t>Post-Termination Transactions</w:t>
      </w:r>
    </w:p>
    <w:p w:rsidR="000C6C6B" w:rsidRPr="009F6816" w:rsidRDefault="000C6C6B" w:rsidP="00852FA8">
      <w:pPr>
        <w:tabs>
          <w:tab w:val="left" w:pos="720"/>
          <w:tab w:val="left" w:pos="1440"/>
          <w:tab w:val="left" w:pos="2160"/>
          <w:tab w:val="left" w:pos="5040"/>
        </w:tabs>
        <w:spacing w:after="240"/>
        <w:jc w:val="both"/>
        <w:rPr>
          <w:sz w:val="20"/>
          <w:szCs w:val="20"/>
        </w:rPr>
      </w:pPr>
      <w:r w:rsidRPr="009F6816">
        <w:rPr>
          <w:sz w:val="20"/>
          <w:szCs w:val="20"/>
        </w:rPr>
        <w:tab/>
      </w:r>
      <w:r w:rsidR="00EF5660" w:rsidRPr="009F6816">
        <w:rPr>
          <w:sz w:val="20"/>
          <w:szCs w:val="20"/>
        </w:rPr>
        <w:t>If an individual is in possession of Inside Information or subject to any blackout period or other Company-imposed trading restrictions when his or her service terminates, that individual may not trade in Company securities until that information has become public, is no longer material or such blackout period or Company-imposed trading restriction has expired.</w:t>
      </w:r>
      <w:r w:rsidR="00DC0B23" w:rsidRPr="009F6816">
        <w:rPr>
          <w:sz w:val="20"/>
          <w:szCs w:val="20"/>
        </w:rPr>
        <w:t xml:space="preserve"> </w:t>
      </w:r>
    </w:p>
    <w:p w:rsidR="00C362C0" w:rsidRPr="009F6816" w:rsidRDefault="00C362C0" w:rsidP="00FA25F8">
      <w:pPr>
        <w:pStyle w:val="ListParagraph"/>
        <w:numPr>
          <w:ilvl w:val="0"/>
          <w:numId w:val="43"/>
        </w:numPr>
        <w:tabs>
          <w:tab w:val="left" w:pos="720"/>
          <w:tab w:val="left" w:pos="990"/>
          <w:tab w:val="left" w:pos="1260"/>
          <w:tab w:val="left" w:pos="2160"/>
          <w:tab w:val="left" w:pos="5040"/>
        </w:tabs>
        <w:ind w:left="720"/>
        <w:rPr>
          <w:rFonts w:ascii="Times New Roman Bold" w:hAnsi="Times New Roman Bold"/>
          <w:caps/>
          <w:sz w:val="20"/>
          <w:szCs w:val="20"/>
        </w:rPr>
      </w:pPr>
      <w:r w:rsidRPr="009F6816">
        <w:rPr>
          <w:rFonts w:ascii="Times New Roman Bold" w:hAnsi="Times New Roman Bold"/>
          <w:b/>
          <w:caps/>
          <w:sz w:val="20"/>
          <w:szCs w:val="20"/>
          <w:u w:val="single"/>
        </w:rPr>
        <w:t>Administration of th</w:t>
      </w:r>
      <w:r w:rsidR="00B9448A" w:rsidRPr="009F6816">
        <w:rPr>
          <w:rFonts w:ascii="Times New Roman Bold" w:hAnsi="Times New Roman Bold"/>
          <w:b/>
          <w:caps/>
          <w:sz w:val="20"/>
          <w:szCs w:val="20"/>
          <w:u w:val="single"/>
        </w:rPr>
        <w:t>IS</w:t>
      </w:r>
      <w:r w:rsidRPr="009F6816">
        <w:rPr>
          <w:rFonts w:ascii="Times New Roman Bold" w:hAnsi="Times New Roman Bold"/>
          <w:b/>
          <w:caps/>
          <w:sz w:val="20"/>
          <w:szCs w:val="20"/>
          <w:u w:val="single"/>
        </w:rPr>
        <w:t xml:space="preserve"> Policy</w:t>
      </w:r>
    </w:p>
    <w:p w:rsidR="00C362C0" w:rsidRPr="009F6816" w:rsidRDefault="00C362C0" w:rsidP="00C362C0">
      <w:pPr>
        <w:tabs>
          <w:tab w:val="left" w:pos="720"/>
          <w:tab w:val="left" w:pos="1440"/>
          <w:tab w:val="left" w:pos="2160"/>
          <w:tab w:val="left" w:pos="5040"/>
        </w:tabs>
        <w:rPr>
          <w:sz w:val="20"/>
          <w:szCs w:val="20"/>
        </w:rPr>
      </w:pPr>
    </w:p>
    <w:p w:rsidR="00E00488" w:rsidRPr="009F6816" w:rsidRDefault="00C362C0" w:rsidP="00820D0F">
      <w:pPr>
        <w:tabs>
          <w:tab w:val="left" w:pos="720"/>
          <w:tab w:val="left" w:pos="1440"/>
          <w:tab w:val="left" w:pos="2160"/>
          <w:tab w:val="left" w:pos="5040"/>
        </w:tabs>
        <w:jc w:val="both"/>
        <w:rPr>
          <w:sz w:val="20"/>
          <w:szCs w:val="20"/>
        </w:rPr>
      </w:pPr>
      <w:r w:rsidRPr="009F6816">
        <w:rPr>
          <w:sz w:val="20"/>
          <w:szCs w:val="20"/>
        </w:rPr>
        <w:tab/>
      </w:r>
      <w:proofErr w:type="gramStart"/>
      <w:r w:rsidR="00F52C76" w:rsidRPr="009F6816">
        <w:rPr>
          <w:sz w:val="20"/>
          <w:szCs w:val="20"/>
        </w:rPr>
        <w:t>T</w:t>
      </w:r>
      <w:r w:rsidRPr="009F6816">
        <w:rPr>
          <w:sz w:val="20"/>
          <w:szCs w:val="20"/>
        </w:rPr>
        <w:t xml:space="preserve">he </w:t>
      </w:r>
      <w:r w:rsidR="002213C4" w:rsidRPr="009F6816">
        <w:rPr>
          <w:sz w:val="20"/>
          <w:szCs w:val="20"/>
        </w:rPr>
        <w:t xml:space="preserve">Company’s </w:t>
      </w:r>
      <w:r w:rsidR="00BA405C" w:rsidRPr="009F6816">
        <w:rPr>
          <w:sz w:val="20"/>
          <w:szCs w:val="20"/>
        </w:rPr>
        <w:t>principal financial officer</w:t>
      </w:r>
      <w:r w:rsidRPr="009F6816">
        <w:rPr>
          <w:sz w:val="20"/>
          <w:szCs w:val="20"/>
        </w:rPr>
        <w:t xml:space="preserve">, </w:t>
      </w:r>
      <w:r w:rsidR="002C5DEE" w:rsidRPr="009F6816">
        <w:rPr>
          <w:sz w:val="20"/>
          <w:szCs w:val="20"/>
        </w:rPr>
        <w:t>or</w:t>
      </w:r>
      <w:r w:rsidRPr="009F6816">
        <w:rPr>
          <w:sz w:val="20"/>
          <w:szCs w:val="20"/>
        </w:rPr>
        <w:t xml:space="preserve"> in his absence </w:t>
      </w:r>
      <w:r w:rsidR="006D5040" w:rsidRPr="009F6816">
        <w:rPr>
          <w:sz w:val="20"/>
          <w:szCs w:val="20"/>
        </w:rPr>
        <w:t xml:space="preserve">the </w:t>
      </w:r>
      <w:r w:rsidR="00BA405C" w:rsidRPr="009F6816">
        <w:rPr>
          <w:sz w:val="20"/>
          <w:szCs w:val="20"/>
        </w:rPr>
        <w:t>Chairman of the Nominating and Corporate Governance Committee</w:t>
      </w:r>
      <w:r w:rsidR="002C5DEE" w:rsidRPr="009F6816">
        <w:rPr>
          <w:sz w:val="20"/>
          <w:szCs w:val="20"/>
        </w:rPr>
        <w:t>,</w:t>
      </w:r>
      <w:r w:rsidR="006D5040" w:rsidRPr="009F6816">
        <w:rPr>
          <w:sz w:val="20"/>
          <w:szCs w:val="20"/>
        </w:rPr>
        <w:t xml:space="preserve"> or with respect to matters involving the </w:t>
      </w:r>
      <w:r w:rsidR="002213C4" w:rsidRPr="009F6816">
        <w:rPr>
          <w:sz w:val="20"/>
          <w:szCs w:val="20"/>
        </w:rPr>
        <w:t xml:space="preserve">Company’s </w:t>
      </w:r>
      <w:r w:rsidR="00BA405C" w:rsidRPr="009F6816">
        <w:rPr>
          <w:sz w:val="20"/>
          <w:szCs w:val="20"/>
        </w:rPr>
        <w:t>principal financial officer</w:t>
      </w:r>
      <w:r w:rsidR="006D5040" w:rsidRPr="009F6816">
        <w:rPr>
          <w:sz w:val="20"/>
          <w:szCs w:val="20"/>
        </w:rPr>
        <w:t xml:space="preserve">, the </w:t>
      </w:r>
      <w:r w:rsidR="00BA405C" w:rsidRPr="009F6816">
        <w:rPr>
          <w:sz w:val="20"/>
          <w:szCs w:val="20"/>
        </w:rPr>
        <w:t>Chairman of the Nominating and Corporate Governance Committee</w:t>
      </w:r>
      <w:r w:rsidR="002C5DEE" w:rsidRPr="009F6816">
        <w:rPr>
          <w:sz w:val="20"/>
          <w:szCs w:val="20"/>
        </w:rPr>
        <w:t xml:space="preserve"> (the “</w:t>
      </w:r>
      <w:r w:rsidR="002C5DEE" w:rsidRPr="009F6816">
        <w:rPr>
          <w:b/>
          <w:i/>
          <w:sz w:val="20"/>
          <w:szCs w:val="20"/>
        </w:rPr>
        <w:t>Administrator</w:t>
      </w:r>
      <w:r w:rsidR="002C5DEE" w:rsidRPr="009F6816">
        <w:rPr>
          <w:sz w:val="20"/>
          <w:szCs w:val="20"/>
        </w:rPr>
        <w:t>”)</w:t>
      </w:r>
      <w:r w:rsidRPr="009F6816">
        <w:rPr>
          <w:sz w:val="20"/>
          <w:szCs w:val="20"/>
        </w:rPr>
        <w:t xml:space="preserve">, shall be responsible for administration of this </w:t>
      </w:r>
      <w:r w:rsidR="00B9448A" w:rsidRPr="009F6816">
        <w:rPr>
          <w:sz w:val="20"/>
          <w:szCs w:val="20"/>
        </w:rPr>
        <w:t>P</w:t>
      </w:r>
      <w:r w:rsidRPr="009F6816">
        <w:rPr>
          <w:sz w:val="20"/>
          <w:szCs w:val="20"/>
        </w:rPr>
        <w:t>olicy</w:t>
      </w:r>
      <w:r w:rsidR="0034248A" w:rsidRPr="009F6816">
        <w:rPr>
          <w:sz w:val="20"/>
          <w:szCs w:val="20"/>
        </w:rPr>
        <w:t>, including the matters for which</w:t>
      </w:r>
      <w:r w:rsidR="00A85739" w:rsidRPr="009F6816">
        <w:rPr>
          <w:sz w:val="20"/>
          <w:szCs w:val="20"/>
        </w:rPr>
        <w:t xml:space="preserve"> the </w:t>
      </w:r>
      <w:r w:rsidR="00875F12" w:rsidRPr="009F6816">
        <w:rPr>
          <w:sz w:val="20"/>
          <w:szCs w:val="20"/>
        </w:rPr>
        <w:t>Administrator</w:t>
      </w:r>
      <w:r w:rsidR="00A85739" w:rsidRPr="009F6816">
        <w:rPr>
          <w:sz w:val="20"/>
          <w:szCs w:val="20"/>
        </w:rPr>
        <w:t xml:space="preserve"> is specifically designated herein as administering or deciding and all other matters</w:t>
      </w:r>
      <w:r w:rsidRPr="009F6816">
        <w:rPr>
          <w:sz w:val="20"/>
          <w:szCs w:val="20"/>
        </w:rPr>
        <w:t>.</w:t>
      </w:r>
      <w:proofErr w:type="gramEnd"/>
      <w:r w:rsidR="00DC0B23" w:rsidRPr="009F6816">
        <w:rPr>
          <w:sz w:val="20"/>
          <w:szCs w:val="20"/>
        </w:rPr>
        <w:t xml:space="preserve"> </w:t>
      </w:r>
      <w:r w:rsidRPr="009F6816">
        <w:rPr>
          <w:sz w:val="20"/>
          <w:szCs w:val="20"/>
        </w:rPr>
        <w:t xml:space="preserve">All determinations and interpretations by the </w:t>
      </w:r>
      <w:r w:rsidR="00875F12" w:rsidRPr="009F6816">
        <w:rPr>
          <w:sz w:val="20"/>
          <w:szCs w:val="20"/>
        </w:rPr>
        <w:t xml:space="preserve">Administrator </w:t>
      </w:r>
      <w:r w:rsidRPr="009F6816">
        <w:rPr>
          <w:sz w:val="20"/>
          <w:szCs w:val="20"/>
        </w:rPr>
        <w:t>shall be subject to review</w:t>
      </w:r>
      <w:r w:rsidR="006D5040" w:rsidRPr="009F6816">
        <w:rPr>
          <w:sz w:val="20"/>
          <w:szCs w:val="20"/>
        </w:rPr>
        <w:t xml:space="preserve"> by the </w:t>
      </w:r>
      <w:r w:rsidR="00214BFC" w:rsidRPr="009F6816">
        <w:rPr>
          <w:sz w:val="20"/>
          <w:szCs w:val="20"/>
        </w:rPr>
        <w:t>Nominating and Corporate Governance Committee</w:t>
      </w:r>
      <w:r w:rsidR="006D5040" w:rsidRPr="009F6816">
        <w:rPr>
          <w:sz w:val="20"/>
          <w:szCs w:val="20"/>
        </w:rPr>
        <w:t>, whose determinations shall be final</w:t>
      </w:r>
      <w:r w:rsidRPr="009F6816">
        <w:rPr>
          <w:sz w:val="20"/>
          <w:szCs w:val="20"/>
        </w:rPr>
        <w:t>.</w:t>
      </w:r>
    </w:p>
    <w:p w:rsidR="00E00488" w:rsidRPr="009F6816" w:rsidRDefault="00E00488" w:rsidP="00C362C0">
      <w:pPr>
        <w:tabs>
          <w:tab w:val="left" w:pos="720"/>
          <w:tab w:val="left" w:pos="1440"/>
          <w:tab w:val="left" w:pos="2160"/>
          <w:tab w:val="left" w:pos="5040"/>
        </w:tabs>
        <w:rPr>
          <w:sz w:val="20"/>
          <w:szCs w:val="20"/>
        </w:rPr>
      </w:pPr>
    </w:p>
    <w:p w:rsidR="000C6C6B" w:rsidRPr="009F6816" w:rsidRDefault="000C6C6B" w:rsidP="007E26DC">
      <w:pPr>
        <w:pStyle w:val="ListParagraph"/>
        <w:numPr>
          <w:ilvl w:val="0"/>
          <w:numId w:val="43"/>
        </w:numPr>
        <w:tabs>
          <w:tab w:val="left" w:pos="720"/>
          <w:tab w:val="left" w:pos="1350"/>
          <w:tab w:val="left" w:pos="2160"/>
          <w:tab w:val="left" w:pos="5040"/>
        </w:tabs>
        <w:ind w:left="720"/>
        <w:rPr>
          <w:rFonts w:ascii="Times New Roman Bold" w:hAnsi="Times New Roman Bold"/>
          <w:caps/>
          <w:sz w:val="20"/>
          <w:szCs w:val="20"/>
        </w:rPr>
      </w:pPr>
      <w:r w:rsidRPr="009F6816">
        <w:rPr>
          <w:rFonts w:ascii="Times New Roman Bold" w:hAnsi="Times New Roman Bold"/>
          <w:b/>
          <w:caps/>
          <w:sz w:val="20"/>
          <w:szCs w:val="20"/>
          <w:u w:val="single"/>
        </w:rPr>
        <w:t>Company Assistance / Reporting of Violations</w:t>
      </w:r>
    </w:p>
    <w:p w:rsidR="000C6C6B" w:rsidRPr="009F6816" w:rsidRDefault="000C6C6B" w:rsidP="000C6C6B">
      <w:pPr>
        <w:tabs>
          <w:tab w:val="left" w:pos="720"/>
          <w:tab w:val="left" w:pos="1440"/>
          <w:tab w:val="left" w:pos="2160"/>
          <w:tab w:val="left" w:pos="5040"/>
        </w:tabs>
        <w:rPr>
          <w:sz w:val="20"/>
          <w:szCs w:val="20"/>
        </w:rPr>
      </w:pPr>
    </w:p>
    <w:p w:rsidR="002B0F54" w:rsidRPr="009F6816" w:rsidRDefault="000C6C6B" w:rsidP="00D44070">
      <w:pPr>
        <w:pStyle w:val="BTF1"/>
        <w:rPr>
          <w:sz w:val="20"/>
          <w:szCs w:val="20"/>
        </w:rPr>
      </w:pPr>
      <w:r w:rsidRPr="009F6816">
        <w:rPr>
          <w:sz w:val="20"/>
          <w:szCs w:val="20"/>
        </w:rPr>
        <w:t xml:space="preserve">Any person who has any questions about this </w:t>
      </w:r>
      <w:r w:rsidR="00B9448A" w:rsidRPr="009F6816">
        <w:rPr>
          <w:sz w:val="20"/>
          <w:szCs w:val="20"/>
        </w:rPr>
        <w:t>P</w:t>
      </w:r>
      <w:r w:rsidR="00D44070" w:rsidRPr="009F6816">
        <w:rPr>
          <w:sz w:val="20"/>
          <w:szCs w:val="20"/>
        </w:rPr>
        <w:t>olicy</w:t>
      </w:r>
      <w:r w:rsidRPr="009F6816">
        <w:rPr>
          <w:sz w:val="20"/>
          <w:szCs w:val="20"/>
        </w:rPr>
        <w:t xml:space="preserve"> or about specific transactions may obtain additional guidance from </w:t>
      </w:r>
      <w:r w:rsidR="00697E51" w:rsidRPr="009F6816">
        <w:rPr>
          <w:sz w:val="20"/>
          <w:szCs w:val="20"/>
        </w:rPr>
        <w:t xml:space="preserve">the </w:t>
      </w:r>
      <w:r w:rsidR="0049172F" w:rsidRPr="009F6816">
        <w:rPr>
          <w:sz w:val="20"/>
          <w:szCs w:val="20"/>
        </w:rPr>
        <w:t>Administrator</w:t>
      </w:r>
      <w:r w:rsidRPr="009F6816">
        <w:rPr>
          <w:sz w:val="20"/>
          <w:szCs w:val="20"/>
        </w:rPr>
        <w:t>.</w:t>
      </w:r>
      <w:r w:rsidR="00DC0B23" w:rsidRPr="009F6816">
        <w:rPr>
          <w:sz w:val="20"/>
          <w:szCs w:val="20"/>
        </w:rPr>
        <w:t xml:space="preserve"> </w:t>
      </w:r>
      <w:r w:rsidRPr="009F6816">
        <w:rPr>
          <w:sz w:val="20"/>
          <w:szCs w:val="20"/>
        </w:rPr>
        <w:t xml:space="preserve">You should contact </w:t>
      </w:r>
      <w:r w:rsidR="00697E51" w:rsidRPr="009F6816">
        <w:rPr>
          <w:sz w:val="20"/>
          <w:szCs w:val="20"/>
        </w:rPr>
        <w:t xml:space="preserve">the </w:t>
      </w:r>
      <w:r w:rsidR="0049172F" w:rsidRPr="009F6816">
        <w:rPr>
          <w:sz w:val="20"/>
          <w:szCs w:val="20"/>
        </w:rPr>
        <w:t>Administrator</w:t>
      </w:r>
      <w:r w:rsidR="00697E51" w:rsidRPr="009F6816">
        <w:rPr>
          <w:sz w:val="20"/>
          <w:szCs w:val="20"/>
        </w:rPr>
        <w:t xml:space="preserve"> </w:t>
      </w:r>
      <w:r w:rsidRPr="009F6816">
        <w:rPr>
          <w:sz w:val="20"/>
          <w:szCs w:val="20"/>
        </w:rPr>
        <w:t xml:space="preserve">immediately if you know or have reason to believe that </w:t>
      </w:r>
      <w:r w:rsidR="007B702C" w:rsidRPr="009F6816">
        <w:rPr>
          <w:sz w:val="20"/>
          <w:szCs w:val="20"/>
        </w:rPr>
        <w:t>this Policy</w:t>
      </w:r>
      <w:r w:rsidRPr="009F6816">
        <w:rPr>
          <w:sz w:val="20"/>
          <w:szCs w:val="20"/>
        </w:rPr>
        <w:t xml:space="preserve"> has been or is about to be violated.</w:t>
      </w:r>
    </w:p>
    <w:p w:rsidR="00820D0F" w:rsidRPr="009F6816" w:rsidRDefault="00820D0F" w:rsidP="00820D0F">
      <w:pPr>
        <w:pStyle w:val="BTF1"/>
        <w:ind w:firstLine="0"/>
        <w:jc w:val="center"/>
        <w:rPr>
          <w:sz w:val="20"/>
          <w:szCs w:val="20"/>
        </w:rPr>
      </w:pPr>
      <w:r w:rsidRPr="009F6816">
        <w:rPr>
          <w:sz w:val="20"/>
          <w:szCs w:val="20"/>
        </w:rPr>
        <w:t>*****</w:t>
      </w:r>
    </w:p>
    <w:sectPr w:rsidR="00820D0F" w:rsidRPr="009F68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B9" w:rsidRDefault="00AF6AB9">
      <w:r>
        <w:separator/>
      </w:r>
    </w:p>
  </w:endnote>
  <w:endnote w:type="continuationSeparator" w:id="0">
    <w:p w:rsidR="00AF6AB9" w:rsidRDefault="00AF6AB9">
      <w:r>
        <w:continuationSeparator/>
      </w:r>
    </w:p>
  </w:endnote>
  <w:endnote w:type="continuationNotice" w:id="1">
    <w:p w:rsidR="00AF6AB9" w:rsidRDefault="00AF6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24" w:rsidRDefault="00292B24" w:rsidP="00820D0F">
    <w:pPr>
      <w:pStyle w:val="Footer"/>
    </w:pPr>
  </w:p>
  <w:p w:rsidR="00820D0F" w:rsidRPr="009C0F36" w:rsidRDefault="00820D0F">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0F" w:rsidRDefault="00820D0F" w:rsidP="00820D0F">
    <w:pPr>
      <w:pStyle w:val="Footer"/>
    </w:pPr>
  </w:p>
  <w:p w:rsidR="00820D0F" w:rsidRDefault="00090DA4">
    <w:pPr>
      <w:pStyle w:val="Footer"/>
    </w:pPr>
    <w:r>
      <w:tab/>
    </w:r>
    <w:r w:rsidR="002B0F54">
      <w:fldChar w:fldCharType="begin"/>
    </w:r>
    <w:r w:rsidR="002B0F54">
      <w:instrText xml:space="preserve"> PAGE \* MERGEFORMAT \* MERGEFORMAT </w:instrText>
    </w:r>
    <w:r w:rsidR="002B0F54">
      <w:fldChar w:fldCharType="separate"/>
    </w:r>
    <w:r w:rsidR="009C0F36">
      <w:rPr>
        <w:noProof/>
      </w:rPr>
      <w:t>6</w:t>
    </w:r>
    <w:r w:rsidR="002B0F54">
      <w:fldChar w:fldCharType="end"/>
    </w:r>
    <w:r w:rsidR="002B0F54">
      <w:tab/>
    </w:r>
  </w:p>
  <w:p w:rsidR="002B0F54" w:rsidRPr="009C0F36" w:rsidRDefault="002B0F54">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0F" w:rsidRDefault="00820D0F" w:rsidP="00820D0F">
    <w:pPr>
      <w:pStyle w:val="Footer"/>
    </w:pPr>
  </w:p>
  <w:p w:rsidR="00820D0F" w:rsidRDefault="00B6207F">
    <w:pPr>
      <w:pStyle w:val="Footer"/>
      <w:jc w:val="center"/>
    </w:pPr>
    <w:r>
      <w:fldChar w:fldCharType="begin"/>
    </w:r>
    <w:r>
      <w:instrText xml:space="preserve"> PAGE   \* MERGEFORMAT </w:instrText>
    </w:r>
    <w:r>
      <w:fldChar w:fldCharType="separate"/>
    </w:r>
    <w:r w:rsidR="009C0F36">
      <w:rPr>
        <w:noProof/>
      </w:rPr>
      <w:t>1</w:t>
    </w:r>
    <w:r>
      <w:rPr>
        <w:noProof/>
      </w:rPr>
      <w:fldChar w:fldCharType="end"/>
    </w:r>
  </w:p>
  <w:p w:rsidR="00B6207F" w:rsidRPr="009C0F36" w:rsidRDefault="00B6207F">
    <w:pPr>
      <w:pStyle w:val="Footer"/>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B9" w:rsidRDefault="00AF6AB9">
      <w:r>
        <w:separator/>
      </w:r>
    </w:p>
  </w:footnote>
  <w:footnote w:type="continuationSeparator" w:id="0">
    <w:p w:rsidR="00AF6AB9" w:rsidRDefault="00AF6AB9">
      <w:r>
        <w:separator/>
      </w:r>
    </w:p>
  </w:footnote>
  <w:footnote w:type="continuationNotice" w:id="1">
    <w:p w:rsidR="00AF6AB9" w:rsidRDefault="00AF6AB9">
      <w:pPr>
        <w:jc w:val="right"/>
      </w:pPr>
      <w:r>
        <w:t>(</w:t>
      </w:r>
      <w:proofErr w:type="gramStart"/>
      <w:r>
        <w:t>continued</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B68" w:rsidRDefault="00AE7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B68" w:rsidRDefault="00AE7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B68" w:rsidRDefault="00AE7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D0048A"/>
    <w:name w:val="List Number 5"/>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6922D3D4"/>
    <w:name w:val="List Number 4"/>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134A4AA0"/>
    <w:name w:val="List Number 3"/>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11F42842"/>
    <w:name w:val="List Number 2"/>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C630D548"/>
    <w:name w:val="List Bullet 5"/>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62CE16D0"/>
    <w:name w:val="List Bullet 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CFE2C526"/>
    <w:name w:val="List Bullet 3"/>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222C36C6"/>
    <w:name w:val="List Bullet 2"/>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3B92A3EA"/>
    <w:name w:val="List Number"/>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59C073D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5E41CD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8A5F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883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043F0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34847C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C0D1FF3"/>
    <w:multiLevelType w:val="hybridMultilevel"/>
    <w:tmpl w:val="DBE43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104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73B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B52BBA"/>
    <w:multiLevelType w:val="hybridMultilevel"/>
    <w:tmpl w:val="3D684E40"/>
    <w:lvl w:ilvl="0" w:tplc="9300D3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653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3F008C"/>
    <w:multiLevelType w:val="hybridMultilevel"/>
    <w:tmpl w:val="5F84A6BE"/>
    <w:lvl w:ilvl="0" w:tplc="869EF0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5B61F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0C7F0F"/>
    <w:multiLevelType w:val="hybridMultilevel"/>
    <w:tmpl w:val="D9A8A3C8"/>
    <w:lvl w:ilvl="0" w:tplc="25241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42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877B60"/>
    <w:multiLevelType w:val="hybridMultilevel"/>
    <w:tmpl w:val="50F2BBB8"/>
    <w:lvl w:ilvl="0" w:tplc="B63EEF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4C7604"/>
    <w:multiLevelType w:val="hybridMultilevel"/>
    <w:tmpl w:val="25B4AE56"/>
    <w:lvl w:ilvl="0" w:tplc="AB74ED1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0"/>
  </w:num>
  <w:num w:numId="23">
    <w:abstractNumId w:val="19"/>
  </w:num>
  <w:num w:numId="24">
    <w:abstractNumId w:val="21"/>
  </w:num>
  <w:num w:numId="25">
    <w:abstractNumId w:val="11"/>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2"/>
  </w:num>
  <w:num w:numId="39">
    <w:abstractNumId w:val="17"/>
  </w:num>
  <w:num w:numId="40">
    <w:abstractNumId w:val="16"/>
  </w:num>
  <w:num w:numId="41">
    <w:abstractNumId w:val="15"/>
  </w:num>
  <w:num w:numId="42">
    <w:abstractNumId w:val="22"/>
  </w:num>
  <w:num w:numId="43">
    <w:abstractNumId w:val="25"/>
  </w:num>
  <w:num w:numId="44">
    <w:abstractNumId w:val="18"/>
  </w:num>
  <w:num w:numId="45">
    <w:abstractNumId w:val="2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65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CA"/>
    <w:rsid w:val="00001F81"/>
    <w:rsid w:val="000143C4"/>
    <w:rsid w:val="00035827"/>
    <w:rsid w:val="00037B93"/>
    <w:rsid w:val="00051F87"/>
    <w:rsid w:val="00053B6B"/>
    <w:rsid w:val="000554EA"/>
    <w:rsid w:val="00056855"/>
    <w:rsid w:val="0007044E"/>
    <w:rsid w:val="00070D4C"/>
    <w:rsid w:val="00076017"/>
    <w:rsid w:val="00081C05"/>
    <w:rsid w:val="00081D46"/>
    <w:rsid w:val="00090DA4"/>
    <w:rsid w:val="0009755C"/>
    <w:rsid w:val="000A20AC"/>
    <w:rsid w:val="000B6D2A"/>
    <w:rsid w:val="000C1472"/>
    <w:rsid w:val="000C6C6B"/>
    <w:rsid w:val="000D509F"/>
    <w:rsid w:val="000D566B"/>
    <w:rsid w:val="000D7FE3"/>
    <w:rsid w:val="000E1924"/>
    <w:rsid w:val="000E1AF6"/>
    <w:rsid w:val="000E326B"/>
    <w:rsid w:val="00105915"/>
    <w:rsid w:val="00122B4B"/>
    <w:rsid w:val="00126237"/>
    <w:rsid w:val="00130750"/>
    <w:rsid w:val="00133F9D"/>
    <w:rsid w:val="00135B51"/>
    <w:rsid w:val="00136121"/>
    <w:rsid w:val="00146EE2"/>
    <w:rsid w:val="001721DD"/>
    <w:rsid w:val="00180B7C"/>
    <w:rsid w:val="0019094D"/>
    <w:rsid w:val="0019654B"/>
    <w:rsid w:val="00197FCA"/>
    <w:rsid w:val="001A7CF2"/>
    <w:rsid w:val="001B4D02"/>
    <w:rsid w:val="001C40EC"/>
    <w:rsid w:val="001D766D"/>
    <w:rsid w:val="001E2D49"/>
    <w:rsid w:val="001F0159"/>
    <w:rsid w:val="00211DC8"/>
    <w:rsid w:val="00214BFC"/>
    <w:rsid w:val="0022128F"/>
    <w:rsid w:val="002213C4"/>
    <w:rsid w:val="0022336A"/>
    <w:rsid w:val="0022397B"/>
    <w:rsid w:val="002547D7"/>
    <w:rsid w:val="00264EFA"/>
    <w:rsid w:val="002660FD"/>
    <w:rsid w:val="0027158B"/>
    <w:rsid w:val="00281D1B"/>
    <w:rsid w:val="00284AE9"/>
    <w:rsid w:val="00292B24"/>
    <w:rsid w:val="00294EF0"/>
    <w:rsid w:val="002A0C61"/>
    <w:rsid w:val="002B0F54"/>
    <w:rsid w:val="002B4311"/>
    <w:rsid w:val="002C4261"/>
    <w:rsid w:val="002C5DEE"/>
    <w:rsid w:val="002D37BF"/>
    <w:rsid w:val="002D7EDB"/>
    <w:rsid w:val="002F5F7B"/>
    <w:rsid w:val="00301010"/>
    <w:rsid w:val="00311B2F"/>
    <w:rsid w:val="00321EA8"/>
    <w:rsid w:val="00323F75"/>
    <w:rsid w:val="0032446E"/>
    <w:rsid w:val="0034248A"/>
    <w:rsid w:val="0034294B"/>
    <w:rsid w:val="003465A3"/>
    <w:rsid w:val="003506A5"/>
    <w:rsid w:val="0035127B"/>
    <w:rsid w:val="0035568F"/>
    <w:rsid w:val="00372AE3"/>
    <w:rsid w:val="00373DC9"/>
    <w:rsid w:val="003851E6"/>
    <w:rsid w:val="00386476"/>
    <w:rsid w:val="00386BE5"/>
    <w:rsid w:val="00387498"/>
    <w:rsid w:val="003A0C19"/>
    <w:rsid w:val="003A2C2B"/>
    <w:rsid w:val="003A51E0"/>
    <w:rsid w:val="003B0372"/>
    <w:rsid w:val="003B249B"/>
    <w:rsid w:val="003C459F"/>
    <w:rsid w:val="003C6146"/>
    <w:rsid w:val="003E2AA9"/>
    <w:rsid w:val="003E5875"/>
    <w:rsid w:val="003E7A75"/>
    <w:rsid w:val="00400925"/>
    <w:rsid w:val="0040145C"/>
    <w:rsid w:val="0041761F"/>
    <w:rsid w:val="00425245"/>
    <w:rsid w:val="004260D1"/>
    <w:rsid w:val="00431575"/>
    <w:rsid w:val="00431749"/>
    <w:rsid w:val="00433AA5"/>
    <w:rsid w:val="0043464D"/>
    <w:rsid w:val="00434E7B"/>
    <w:rsid w:val="00435466"/>
    <w:rsid w:val="00442E21"/>
    <w:rsid w:val="00460595"/>
    <w:rsid w:val="00461A29"/>
    <w:rsid w:val="00467764"/>
    <w:rsid w:val="00470538"/>
    <w:rsid w:val="004806CD"/>
    <w:rsid w:val="004842CB"/>
    <w:rsid w:val="00485EDD"/>
    <w:rsid w:val="00490363"/>
    <w:rsid w:val="0049172F"/>
    <w:rsid w:val="0049621A"/>
    <w:rsid w:val="004A68CB"/>
    <w:rsid w:val="004B5F4C"/>
    <w:rsid w:val="004B629F"/>
    <w:rsid w:val="004C2BCA"/>
    <w:rsid w:val="004C4C7E"/>
    <w:rsid w:val="004C5925"/>
    <w:rsid w:val="004D5157"/>
    <w:rsid w:val="00500E07"/>
    <w:rsid w:val="005037B6"/>
    <w:rsid w:val="00512810"/>
    <w:rsid w:val="00517B0A"/>
    <w:rsid w:val="005249BD"/>
    <w:rsid w:val="00551F86"/>
    <w:rsid w:val="00554E94"/>
    <w:rsid w:val="005558A6"/>
    <w:rsid w:val="005605A4"/>
    <w:rsid w:val="00570E0E"/>
    <w:rsid w:val="00571B38"/>
    <w:rsid w:val="00572D1D"/>
    <w:rsid w:val="00582575"/>
    <w:rsid w:val="00584C93"/>
    <w:rsid w:val="00586238"/>
    <w:rsid w:val="005C0CCE"/>
    <w:rsid w:val="005C4677"/>
    <w:rsid w:val="005D1450"/>
    <w:rsid w:val="005E177B"/>
    <w:rsid w:val="00601674"/>
    <w:rsid w:val="00612918"/>
    <w:rsid w:val="006147D9"/>
    <w:rsid w:val="00621AD9"/>
    <w:rsid w:val="00622517"/>
    <w:rsid w:val="0062704D"/>
    <w:rsid w:val="006304A1"/>
    <w:rsid w:val="00630F5F"/>
    <w:rsid w:val="0066764F"/>
    <w:rsid w:val="00695C9D"/>
    <w:rsid w:val="00697E51"/>
    <w:rsid w:val="006B3D10"/>
    <w:rsid w:val="006B6772"/>
    <w:rsid w:val="006D0823"/>
    <w:rsid w:val="006D5040"/>
    <w:rsid w:val="006D5B78"/>
    <w:rsid w:val="006E3E0C"/>
    <w:rsid w:val="006F4C09"/>
    <w:rsid w:val="006F7FD9"/>
    <w:rsid w:val="00712195"/>
    <w:rsid w:val="0072067B"/>
    <w:rsid w:val="0072381B"/>
    <w:rsid w:val="0073210D"/>
    <w:rsid w:val="007346BB"/>
    <w:rsid w:val="00741FE7"/>
    <w:rsid w:val="007434BE"/>
    <w:rsid w:val="00747BBB"/>
    <w:rsid w:val="00757764"/>
    <w:rsid w:val="007635DE"/>
    <w:rsid w:val="007741F5"/>
    <w:rsid w:val="007A0FAB"/>
    <w:rsid w:val="007A4888"/>
    <w:rsid w:val="007A6857"/>
    <w:rsid w:val="007B0058"/>
    <w:rsid w:val="007B702C"/>
    <w:rsid w:val="007D0CB1"/>
    <w:rsid w:val="007E2635"/>
    <w:rsid w:val="007E26DC"/>
    <w:rsid w:val="007E6908"/>
    <w:rsid w:val="0080121F"/>
    <w:rsid w:val="00805828"/>
    <w:rsid w:val="00805893"/>
    <w:rsid w:val="00805E81"/>
    <w:rsid w:val="008201EA"/>
    <w:rsid w:val="00820D0F"/>
    <w:rsid w:val="00821CAF"/>
    <w:rsid w:val="00841AE6"/>
    <w:rsid w:val="00852FA8"/>
    <w:rsid w:val="008607F9"/>
    <w:rsid w:val="0086634D"/>
    <w:rsid w:val="00875F12"/>
    <w:rsid w:val="00877E72"/>
    <w:rsid w:val="00895DA0"/>
    <w:rsid w:val="008A6F59"/>
    <w:rsid w:val="008B6651"/>
    <w:rsid w:val="008C0FC5"/>
    <w:rsid w:val="008D1369"/>
    <w:rsid w:val="008D2668"/>
    <w:rsid w:val="008E334C"/>
    <w:rsid w:val="008E5D76"/>
    <w:rsid w:val="008F34DE"/>
    <w:rsid w:val="00902BDB"/>
    <w:rsid w:val="0094359A"/>
    <w:rsid w:val="00943DDD"/>
    <w:rsid w:val="00947DD4"/>
    <w:rsid w:val="00951D39"/>
    <w:rsid w:val="00960BDC"/>
    <w:rsid w:val="00973171"/>
    <w:rsid w:val="009833E4"/>
    <w:rsid w:val="00984122"/>
    <w:rsid w:val="009853FA"/>
    <w:rsid w:val="009B1A5F"/>
    <w:rsid w:val="009C0F36"/>
    <w:rsid w:val="009C2B09"/>
    <w:rsid w:val="009D0224"/>
    <w:rsid w:val="009D4116"/>
    <w:rsid w:val="009D4507"/>
    <w:rsid w:val="009E14BB"/>
    <w:rsid w:val="009F1238"/>
    <w:rsid w:val="009F6816"/>
    <w:rsid w:val="009F7944"/>
    <w:rsid w:val="00A03100"/>
    <w:rsid w:val="00A1622B"/>
    <w:rsid w:val="00A259DD"/>
    <w:rsid w:val="00A26154"/>
    <w:rsid w:val="00A505BB"/>
    <w:rsid w:val="00A5130B"/>
    <w:rsid w:val="00A51577"/>
    <w:rsid w:val="00A52D54"/>
    <w:rsid w:val="00A533A1"/>
    <w:rsid w:val="00A601F6"/>
    <w:rsid w:val="00A6586F"/>
    <w:rsid w:val="00A76D75"/>
    <w:rsid w:val="00A82716"/>
    <w:rsid w:val="00A84079"/>
    <w:rsid w:val="00A85739"/>
    <w:rsid w:val="00A94145"/>
    <w:rsid w:val="00AA7354"/>
    <w:rsid w:val="00AA7C0B"/>
    <w:rsid w:val="00AC6935"/>
    <w:rsid w:val="00AD1548"/>
    <w:rsid w:val="00AE695A"/>
    <w:rsid w:val="00AE6D5B"/>
    <w:rsid w:val="00AE7878"/>
    <w:rsid w:val="00AE7B68"/>
    <w:rsid w:val="00AF3A4E"/>
    <w:rsid w:val="00AF6AB9"/>
    <w:rsid w:val="00B016FD"/>
    <w:rsid w:val="00B25564"/>
    <w:rsid w:val="00B309DD"/>
    <w:rsid w:val="00B320E0"/>
    <w:rsid w:val="00B56696"/>
    <w:rsid w:val="00B6207F"/>
    <w:rsid w:val="00B853CB"/>
    <w:rsid w:val="00B85B7F"/>
    <w:rsid w:val="00B87B09"/>
    <w:rsid w:val="00B9448A"/>
    <w:rsid w:val="00BA405C"/>
    <w:rsid w:val="00BA6EFC"/>
    <w:rsid w:val="00BB376F"/>
    <w:rsid w:val="00BB683B"/>
    <w:rsid w:val="00BC4F33"/>
    <w:rsid w:val="00BD5A57"/>
    <w:rsid w:val="00C01E12"/>
    <w:rsid w:val="00C200F9"/>
    <w:rsid w:val="00C362C0"/>
    <w:rsid w:val="00C72176"/>
    <w:rsid w:val="00C74C70"/>
    <w:rsid w:val="00C803ED"/>
    <w:rsid w:val="00C8107F"/>
    <w:rsid w:val="00C834D2"/>
    <w:rsid w:val="00C84AE2"/>
    <w:rsid w:val="00C869F3"/>
    <w:rsid w:val="00C95A0D"/>
    <w:rsid w:val="00CA5BF0"/>
    <w:rsid w:val="00CB0200"/>
    <w:rsid w:val="00CB1B69"/>
    <w:rsid w:val="00CB30B7"/>
    <w:rsid w:val="00CB5E63"/>
    <w:rsid w:val="00CC1567"/>
    <w:rsid w:val="00CE0F39"/>
    <w:rsid w:val="00CF27BF"/>
    <w:rsid w:val="00CF701A"/>
    <w:rsid w:val="00D03C94"/>
    <w:rsid w:val="00D04FFA"/>
    <w:rsid w:val="00D0778F"/>
    <w:rsid w:val="00D22356"/>
    <w:rsid w:val="00D27323"/>
    <w:rsid w:val="00D43961"/>
    <w:rsid w:val="00D44070"/>
    <w:rsid w:val="00D45ECF"/>
    <w:rsid w:val="00D52EB5"/>
    <w:rsid w:val="00D570CD"/>
    <w:rsid w:val="00D81362"/>
    <w:rsid w:val="00D85597"/>
    <w:rsid w:val="00D87ABC"/>
    <w:rsid w:val="00DA0366"/>
    <w:rsid w:val="00DB269A"/>
    <w:rsid w:val="00DC0B23"/>
    <w:rsid w:val="00DC4312"/>
    <w:rsid w:val="00DC4BA1"/>
    <w:rsid w:val="00DF2256"/>
    <w:rsid w:val="00DF589D"/>
    <w:rsid w:val="00E00488"/>
    <w:rsid w:val="00E10939"/>
    <w:rsid w:val="00E20A7F"/>
    <w:rsid w:val="00E23692"/>
    <w:rsid w:val="00E45886"/>
    <w:rsid w:val="00E46831"/>
    <w:rsid w:val="00E4748B"/>
    <w:rsid w:val="00E500B4"/>
    <w:rsid w:val="00E50D1B"/>
    <w:rsid w:val="00E60FC4"/>
    <w:rsid w:val="00E65613"/>
    <w:rsid w:val="00E67253"/>
    <w:rsid w:val="00E717ED"/>
    <w:rsid w:val="00E95CE9"/>
    <w:rsid w:val="00EA14E5"/>
    <w:rsid w:val="00EA4F4F"/>
    <w:rsid w:val="00EB3449"/>
    <w:rsid w:val="00EC3192"/>
    <w:rsid w:val="00ED0D10"/>
    <w:rsid w:val="00ED1A61"/>
    <w:rsid w:val="00EE33C6"/>
    <w:rsid w:val="00EE3AA1"/>
    <w:rsid w:val="00EF3DFF"/>
    <w:rsid w:val="00EF5660"/>
    <w:rsid w:val="00EF652D"/>
    <w:rsid w:val="00F03634"/>
    <w:rsid w:val="00F109E5"/>
    <w:rsid w:val="00F16FF1"/>
    <w:rsid w:val="00F314D8"/>
    <w:rsid w:val="00F32E08"/>
    <w:rsid w:val="00F52C76"/>
    <w:rsid w:val="00F52F29"/>
    <w:rsid w:val="00F53392"/>
    <w:rsid w:val="00F72191"/>
    <w:rsid w:val="00F73E3E"/>
    <w:rsid w:val="00F75366"/>
    <w:rsid w:val="00F9162E"/>
    <w:rsid w:val="00F93CA5"/>
    <w:rsid w:val="00F94549"/>
    <w:rsid w:val="00FA25F8"/>
    <w:rsid w:val="00FA3871"/>
    <w:rsid w:val="00FA55A2"/>
    <w:rsid w:val="00FB50A2"/>
    <w:rsid w:val="00FC492C"/>
    <w:rsid w:val="00FE22BB"/>
    <w:rsid w:val="00FE4D36"/>
    <w:rsid w:val="00FE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5B9202FD"/>
  <w15:docId w15:val="{8C76D7B7-0ED0-45CE-A90F-4644CC46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sz w:val="24"/>
      <w:szCs w:val="24"/>
    </w:rPr>
  </w:style>
  <w:style w:type="paragraph" w:styleId="Heading1">
    <w:name w:val="heading 1"/>
    <w:basedOn w:val="Normal"/>
    <w:next w:val="BodyText"/>
    <w:qFormat/>
    <w:pPr>
      <w:keepNext/>
      <w:spacing w:after="240"/>
      <w:jc w:val="center"/>
      <w:outlineLvl w:val="0"/>
    </w:pPr>
    <w:rPr>
      <w:rFonts w:cs="Arial"/>
      <w:b/>
      <w:bCs/>
    </w:rPr>
  </w:style>
  <w:style w:type="paragraph" w:styleId="Heading2">
    <w:name w:val="heading 2"/>
    <w:basedOn w:val="Heading1"/>
    <w:next w:val="BodyText"/>
    <w:qFormat/>
    <w:pPr>
      <w:outlineLvl w:val="1"/>
    </w:pPr>
    <w:rPr>
      <w:bCs w:val="0"/>
      <w:iCs/>
      <w:u w:val="single"/>
    </w:rPr>
  </w:style>
  <w:style w:type="paragraph" w:styleId="Heading3">
    <w:name w:val="heading 3"/>
    <w:basedOn w:val="Heading2"/>
    <w:next w:val="BodyText"/>
    <w:qFormat/>
    <w:pPr>
      <w:jc w:val="left"/>
      <w:outlineLvl w:val="2"/>
    </w:pPr>
    <w:rPr>
      <w:bCs/>
      <w:u w:val="none"/>
    </w:rPr>
  </w:style>
  <w:style w:type="paragraph" w:styleId="Heading4">
    <w:name w:val="heading 4"/>
    <w:basedOn w:val="Heading3"/>
    <w:next w:val="BodyText"/>
    <w:qFormat/>
    <w:pPr>
      <w:outlineLvl w:val="3"/>
    </w:pPr>
    <w:rPr>
      <w:b w:val="0"/>
      <w:bCs w:val="0"/>
      <w:u w:val="single"/>
    </w:rPr>
  </w:style>
  <w:style w:type="paragraph" w:styleId="Heading5">
    <w:name w:val="heading 5"/>
    <w:basedOn w:val="Heading4"/>
    <w:next w:val="BodyText"/>
    <w:qFormat/>
    <w:pPr>
      <w:ind w:left="720"/>
      <w:outlineLvl w:val="4"/>
    </w:pPr>
    <w:rPr>
      <w:bCs/>
      <w:iCs w:val="0"/>
      <w:u w:val="none"/>
    </w:rPr>
  </w:style>
  <w:style w:type="paragraph" w:styleId="Heading6">
    <w:name w:val="heading 6"/>
    <w:basedOn w:val="Heading5"/>
    <w:next w:val="BodyText"/>
    <w:qFormat/>
    <w:pPr>
      <w:outlineLvl w:val="5"/>
    </w:pPr>
    <w:rPr>
      <w:bCs w:val="0"/>
      <w:u w:val="single"/>
    </w:rPr>
  </w:style>
  <w:style w:type="paragraph" w:styleId="Heading7">
    <w:name w:val="heading 7"/>
    <w:basedOn w:val="Heading6"/>
    <w:next w:val="BodyText"/>
    <w:qFormat/>
    <w:pPr>
      <w:ind w:left="0"/>
      <w:jc w:val="center"/>
      <w:outlineLvl w:val="6"/>
    </w:pPr>
    <w:rPr>
      <w:b/>
      <w:u w:val="none"/>
    </w:rPr>
  </w:style>
  <w:style w:type="paragraph" w:styleId="Heading8">
    <w:name w:val="heading 8"/>
    <w:basedOn w:val="Heading7"/>
    <w:next w:val="BodyText"/>
    <w:qFormat/>
    <w:pPr>
      <w:jc w:val="left"/>
      <w:outlineLvl w:val="7"/>
    </w:pPr>
    <w:rPr>
      <w:iCs/>
    </w:rPr>
  </w:style>
  <w:style w:type="paragraph" w:styleId="Heading9">
    <w:name w:val="heading 9"/>
    <w:basedOn w:val="Heading8"/>
    <w:next w:val="BodyText"/>
    <w:qFormat/>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K"/>
    <w:basedOn w:val="Normal"/>
    <w:next w:val="BodyText"/>
    <w:pPr>
      <w:spacing w:after="240"/>
      <w:ind w:left="1440" w:right="720"/>
    </w:pPr>
  </w:style>
  <w:style w:type="paragraph" w:styleId="BodyText">
    <w:name w:val="Body Text"/>
    <w:aliases w:val="BT"/>
    <w:basedOn w:val="Normal"/>
    <w:pPr>
      <w:spacing w:after="240"/>
      <w:ind w:firstLine="720"/>
    </w:pPr>
  </w:style>
  <w:style w:type="paragraph" w:customStyle="1" w:styleId="BodyTextIndent">
    <w:name w:val="Body Text + Indent"/>
    <w:aliases w:val="BTIN"/>
    <w:basedOn w:val="BodyText"/>
    <w:pPr>
      <w:ind w:left="720"/>
    </w:pPr>
  </w:style>
  <w:style w:type="paragraph" w:customStyle="1" w:styleId="BodyTextIndent2">
    <w:name w:val="Body Text + Indent 2"/>
    <w:aliases w:val="BTIN2"/>
    <w:basedOn w:val="BodyTextIndent"/>
    <w:pPr>
      <w:ind w:left="1440"/>
    </w:pPr>
  </w:style>
  <w:style w:type="paragraph" w:styleId="BodyText2">
    <w:name w:val="Body Text 2"/>
    <w:aliases w:val="BT2"/>
    <w:basedOn w:val="Normal"/>
    <w:pPr>
      <w:spacing w:after="240" w:line="480" w:lineRule="auto"/>
      <w:ind w:firstLine="720"/>
    </w:pPr>
  </w:style>
  <w:style w:type="paragraph" w:styleId="BodyText3">
    <w:name w:val="Body Text 3"/>
    <w:aliases w:val="BT3"/>
    <w:basedOn w:val="Normal"/>
  </w:style>
  <w:style w:type="paragraph" w:customStyle="1" w:styleId="BodyTextContinued">
    <w:name w:val="Body Text Continued"/>
    <w:aliases w:val="BTC"/>
    <w:basedOn w:val="Normal"/>
    <w:next w:val="BodyText"/>
    <w:pPr>
      <w:spacing w:after="240"/>
    </w:pPr>
  </w:style>
  <w:style w:type="paragraph" w:styleId="BodyTextFirstIndent">
    <w:name w:val="Body Text First Indent"/>
    <w:aliases w:val="BTF"/>
    <w:basedOn w:val="Normal"/>
    <w:pPr>
      <w:spacing w:after="240"/>
      <w:ind w:firstLine="1440"/>
    </w:pPr>
  </w:style>
  <w:style w:type="paragraph" w:styleId="BodyTextIndent0">
    <w:name w:val="Body Text Indent"/>
    <w:aliases w:val="BTI"/>
    <w:basedOn w:val="BodyTextNoIndent"/>
    <w:pPr>
      <w:ind w:left="720"/>
    </w:pPr>
  </w:style>
  <w:style w:type="paragraph" w:styleId="BodyTextFirstIndent2">
    <w:name w:val="Body Text First Indent 2"/>
    <w:aliases w:val="BTF2"/>
    <w:basedOn w:val="BodyTextFirstIndent"/>
    <w:pPr>
      <w:ind w:left="720"/>
    </w:pPr>
  </w:style>
  <w:style w:type="paragraph" w:customStyle="1" w:styleId="BodyTextFirstIndent3">
    <w:name w:val="Body Text First Indent 3"/>
    <w:aliases w:val="BTF3"/>
    <w:basedOn w:val="BodyTextFirstIndent2"/>
    <w:pPr>
      <w:ind w:left="1440"/>
    </w:pPr>
  </w:style>
  <w:style w:type="paragraph" w:customStyle="1" w:styleId="BodyTextNoIndent">
    <w:name w:val="Body Text No Indent"/>
    <w:aliases w:val="BTNI"/>
    <w:basedOn w:val="Normal"/>
    <w:pPr>
      <w:spacing w:after="240"/>
    </w:pPr>
  </w:style>
  <w:style w:type="paragraph" w:styleId="BodyTextIndent20">
    <w:name w:val="Body Text Indent 2"/>
    <w:aliases w:val="BTI2"/>
    <w:basedOn w:val="BodyTextIndent0"/>
    <w:pPr>
      <w:ind w:left="1440"/>
    </w:pPr>
  </w:style>
  <w:style w:type="paragraph" w:styleId="BodyTextIndent3">
    <w:name w:val="Body Text Indent 3"/>
    <w:aliases w:val="BTI3"/>
    <w:basedOn w:val="BodyTextIndent20"/>
    <w:pPr>
      <w:ind w:left="2160"/>
    </w:pPr>
  </w:style>
  <w:style w:type="paragraph" w:customStyle="1" w:styleId="BTHangIndent">
    <w:name w:val="BT Hang Indent"/>
    <w:aliases w:val="BTH"/>
    <w:basedOn w:val="Normal"/>
    <w:pPr>
      <w:spacing w:after="240"/>
      <w:ind w:left="1440" w:hanging="1440"/>
    </w:pPr>
  </w:style>
  <w:style w:type="paragraph" w:customStyle="1" w:styleId="BTHangIndent2">
    <w:name w:val="BT Hang Indent 2"/>
    <w:aliases w:val="BTH2"/>
    <w:basedOn w:val="BTHangIndent"/>
    <w:pPr>
      <w:ind w:left="2160"/>
    </w:pPr>
  </w:style>
  <w:style w:type="paragraph" w:customStyle="1" w:styleId="Centered">
    <w:name w:val="Centered"/>
    <w:aliases w:val="CT"/>
    <w:basedOn w:val="Normal"/>
    <w:pPr>
      <w:spacing w:after="240"/>
      <w:jc w:val="center"/>
    </w:pPr>
  </w:style>
  <w:style w:type="paragraph" w:styleId="ListBullet">
    <w:name w:val="List Bullet"/>
    <w:basedOn w:val="Normal"/>
    <w:pPr>
      <w:numPr>
        <w:numId w:val="1"/>
      </w:numPr>
      <w:tabs>
        <w:tab w:val="clear" w:pos="720"/>
      </w:tabs>
      <w:spacing w:after="240"/>
    </w:pPr>
  </w:style>
  <w:style w:type="paragraph" w:styleId="ListBullet2">
    <w:name w:val="List Bullet 2"/>
    <w:basedOn w:val="Normal"/>
    <w:pPr>
      <w:numPr>
        <w:numId w:val="3"/>
      </w:numPr>
      <w:tabs>
        <w:tab w:val="left" w:pos="1440"/>
      </w:tabs>
      <w:spacing w:after="240"/>
      <w:jc w:val="both"/>
    </w:pPr>
  </w:style>
  <w:style w:type="paragraph" w:styleId="ListBullet3">
    <w:name w:val="List Bullet 3"/>
    <w:basedOn w:val="Normal"/>
    <w:pPr>
      <w:numPr>
        <w:numId w:val="5"/>
      </w:numPr>
      <w:tabs>
        <w:tab w:val="left" w:pos="2160"/>
      </w:tabs>
      <w:spacing w:after="240"/>
    </w:pPr>
  </w:style>
  <w:style w:type="paragraph" w:styleId="ListBullet4">
    <w:name w:val="List Bullet 4"/>
    <w:basedOn w:val="Normal"/>
    <w:pPr>
      <w:numPr>
        <w:numId w:val="7"/>
      </w:numPr>
      <w:tabs>
        <w:tab w:val="left" w:pos="2880"/>
      </w:tabs>
      <w:spacing w:after="240"/>
    </w:pPr>
  </w:style>
  <w:style w:type="paragraph" w:styleId="ListBullet5">
    <w:name w:val="List Bullet 5"/>
    <w:basedOn w:val="Normal"/>
    <w:pPr>
      <w:numPr>
        <w:numId w:val="9"/>
      </w:numPr>
      <w:tabs>
        <w:tab w:val="left" w:pos="3600"/>
      </w:tabs>
      <w:spacing w:after="240"/>
    </w:pPr>
  </w:style>
  <w:style w:type="paragraph" w:styleId="ListNumber">
    <w:name w:val="List Number"/>
    <w:basedOn w:val="Normal"/>
    <w:pPr>
      <w:numPr>
        <w:numId w:val="11"/>
      </w:numPr>
      <w:spacing w:after="240"/>
    </w:pPr>
  </w:style>
  <w:style w:type="paragraph" w:styleId="ListNumber2">
    <w:name w:val="List Number 2"/>
    <w:basedOn w:val="Normal"/>
    <w:pPr>
      <w:numPr>
        <w:numId w:val="13"/>
      </w:numPr>
      <w:spacing w:after="240"/>
    </w:pPr>
  </w:style>
  <w:style w:type="paragraph" w:styleId="ListNumber3">
    <w:name w:val="List Number 3"/>
    <w:basedOn w:val="Normal"/>
    <w:pPr>
      <w:numPr>
        <w:numId w:val="15"/>
      </w:numPr>
      <w:spacing w:after="240"/>
    </w:pPr>
  </w:style>
  <w:style w:type="paragraph" w:styleId="ListNumber4">
    <w:name w:val="List Number 4"/>
    <w:basedOn w:val="Normal"/>
    <w:pPr>
      <w:numPr>
        <w:numId w:val="17"/>
      </w:numPr>
      <w:spacing w:after="240"/>
    </w:pPr>
  </w:style>
  <w:style w:type="paragraph" w:styleId="ListNumber5">
    <w:name w:val="List Number 5"/>
    <w:basedOn w:val="Normal"/>
    <w:pPr>
      <w:numPr>
        <w:numId w:val="19"/>
      </w:numPr>
      <w:spacing w:after="240"/>
    </w:pPr>
  </w:style>
  <w:style w:type="paragraph" w:styleId="Title">
    <w:name w:val="Title"/>
    <w:aliases w:val="T1"/>
    <w:basedOn w:val="Normal"/>
    <w:next w:val="BodyText"/>
    <w:qFormat/>
    <w:pPr>
      <w:keepNext/>
      <w:spacing w:after="240"/>
      <w:jc w:val="center"/>
    </w:pPr>
    <w:rPr>
      <w:rFonts w:cs="Arial"/>
      <w:bCs/>
    </w:rPr>
  </w:style>
  <w:style w:type="paragraph" w:customStyle="1" w:styleId="TitleB">
    <w:name w:val="Title B"/>
    <w:aliases w:val="TB"/>
    <w:basedOn w:val="Title"/>
    <w:next w:val="BodyText"/>
    <w:rPr>
      <w:b/>
    </w:rPr>
  </w:style>
  <w:style w:type="paragraph" w:customStyle="1" w:styleId="TitleU">
    <w:name w:val="Title U"/>
    <w:aliases w:val="TU"/>
    <w:basedOn w:val="TitleB"/>
    <w:next w:val="BodyText"/>
    <w:rPr>
      <w:b w:val="0"/>
      <w:u w:val="single"/>
    </w:rPr>
  </w:style>
  <w:style w:type="paragraph" w:customStyle="1" w:styleId="TitleBU">
    <w:name w:val="Title BU"/>
    <w:aliases w:val="TBU"/>
    <w:basedOn w:val="TitleU"/>
    <w:next w:val="BodyText"/>
    <w:rPr>
      <w: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rsid w:val="00820D0F"/>
    <w:pPr>
      <w:tabs>
        <w:tab w:val="center" w:pos="4680"/>
        <w:tab w:val="right" w:pos="9360"/>
      </w:tabs>
    </w:pPr>
    <w:rPr>
      <w:sz w:val="20"/>
    </w:rPr>
  </w:style>
  <w:style w:type="paragraph" w:styleId="Subtitle">
    <w:name w:val="Subtitle"/>
    <w:aliases w:val="S1"/>
    <w:basedOn w:val="Normal"/>
    <w:next w:val="BodyText"/>
    <w:qFormat/>
    <w:pPr>
      <w:keepNext/>
      <w:spacing w:after="480"/>
      <w:jc w:val="center"/>
    </w:pPr>
    <w:rPr>
      <w:rFonts w:cs="Arial"/>
    </w:rPr>
  </w:style>
  <w:style w:type="numbering" w:styleId="111111">
    <w:name w:val="Outline List 2"/>
    <w:basedOn w:val="NoList"/>
    <w:semiHidden/>
    <w:pPr>
      <w:numPr>
        <w:numId w:val="21"/>
      </w:numPr>
    </w:pPr>
  </w:style>
  <w:style w:type="numbering" w:styleId="1ai">
    <w:name w:val="Outline List 1"/>
    <w:basedOn w:val="NoList"/>
    <w:semiHidden/>
    <w:pPr>
      <w:numPr>
        <w:numId w:val="24"/>
      </w:numPr>
    </w:pPr>
  </w:style>
  <w:style w:type="numbering" w:styleId="ArticleSection">
    <w:name w:val="Outline List 3"/>
    <w:basedOn w:val="NoList"/>
    <w:semiHidden/>
    <w:pPr>
      <w:numPr>
        <w:numId w:val="26"/>
      </w:numPr>
    </w:pPr>
  </w:style>
  <w:style w:type="paragraph" w:styleId="BalloonText">
    <w:name w:val="Balloon Text"/>
    <w:basedOn w:val="Normal"/>
    <w:rPr>
      <w:rFonts w:ascii="Tahoma" w:hAnsi="Tahoma" w:cs="Tahoma"/>
      <w:sz w:val="16"/>
      <w:szCs w:val="16"/>
    </w:rPr>
  </w:style>
  <w:style w:type="paragraph" w:styleId="Closing">
    <w:name w:val="Closing"/>
    <w:basedOn w:val="Normal"/>
    <w:pPr>
      <w:ind w:left="468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Header">
    <w:name w:val="header"/>
    <w:basedOn w:val="Normal"/>
    <w:pPr>
      <w:tabs>
        <w:tab w:val="center" w:pos="4680"/>
        <w:tab w:val="right" w:pos="936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customStyle="1" w:styleId="Quote1">
    <w:name w:val="Quote1"/>
    <w:aliases w:val="QT"/>
    <w:basedOn w:val="Normal"/>
    <w:next w:val="BodyText"/>
    <w:pPr>
      <w:spacing w:after="240"/>
      <w:ind w:left="720" w:right="720"/>
    </w:pPr>
  </w:style>
  <w:style w:type="paragraph" w:customStyle="1" w:styleId="Right">
    <w:name w:val="Right"/>
    <w:aliases w:val="RT"/>
    <w:basedOn w:val="Normal"/>
    <w:pPr>
      <w:spacing w:before="240"/>
      <w:jc w:val="right"/>
    </w:pPr>
  </w:style>
  <w:style w:type="paragraph" w:styleId="Signature">
    <w:name w:val="Signature"/>
    <w:basedOn w:val="Normal"/>
    <w:pPr>
      <w:ind w:left="4680"/>
    </w:pPr>
  </w:style>
  <w:style w:type="paragraph" w:customStyle="1" w:styleId="SubtitleB">
    <w:name w:val="Subtitle B"/>
    <w:aliases w:val="SB"/>
    <w:basedOn w:val="Subtitle"/>
    <w:next w:val="BodyText"/>
    <w:rPr>
      <w:b/>
    </w:rPr>
  </w:style>
  <w:style w:type="paragraph" w:customStyle="1" w:styleId="SubtitleU">
    <w:name w:val="Subtitle U"/>
    <w:aliases w:val="SU"/>
    <w:basedOn w:val="SubtitleB"/>
    <w:next w:val="BodyText"/>
    <w:rPr>
      <w:b w:val="0"/>
      <w:u w:val="single"/>
    </w:rPr>
  </w:style>
  <w:style w:type="paragraph" w:customStyle="1" w:styleId="SubtitleBU">
    <w:name w:val="Subtitle BU"/>
    <w:aliases w:val="SBU"/>
    <w:basedOn w:val="SubtitleU"/>
    <w:next w:val="BodyText"/>
    <w:rPr>
      <w:b/>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istBullet21">
    <w:name w:val="List Bullet 21"/>
    <w:basedOn w:val="Normal"/>
    <w:next w:val="ListBullet2"/>
    <w:pPr>
      <w:tabs>
        <w:tab w:val="num" w:pos="720"/>
        <w:tab w:val="left" w:pos="1440"/>
      </w:tabs>
      <w:spacing w:after="240"/>
      <w:ind w:left="1440" w:hanging="720"/>
    </w:pPr>
  </w:style>
  <w:style w:type="paragraph" w:customStyle="1" w:styleId="BTF1">
    <w:name w:val="BTF1"/>
    <w:basedOn w:val="Normal"/>
    <w:pPr>
      <w:tabs>
        <w:tab w:val="left" w:pos="720"/>
        <w:tab w:val="left" w:pos="1440"/>
        <w:tab w:val="left" w:pos="2160"/>
        <w:tab w:val="left" w:pos="5040"/>
      </w:tabs>
      <w:spacing w:after="240"/>
      <w:ind w:firstLine="720"/>
      <w:jc w:val="both"/>
    </w:pPr>
  </w:style>
  <w:style w:type="paragraph" w:customStyle="1" w:styleId="BTg1">
    <w:name w:val="BTg1"/>
    <w:basedOn w:val="Normal"/>
    <w:pPr>
      <w:tabs>
        <w:tab w:val="left" w:pos="720"/>
        <w:tab w:val="left" w:pos="1440"/>
        <w:tab w:val="left" w:pos="2160"/>
        <w:tab w:val="left" w:pos="5040"/>
      </w:tabs>
      <w:ind w:firstLine="720"/>
    </w:pPr>
  </w:style>
  <w:style w:type="paragraph" w:styleId="Revision">
    <w:name w:val="Revision"/>
    <w:hidden/>
    <w:uiPriority w:val="99"/>
    <w:semiHidden/>
    <w:rsid w:val="00F109E5"/>
    <w:rPr>
      <w:kern w:val="24"/>
      <w:sz w:val="24"/>
      <w:szCs w:val="24"/>
    </w:rPr>
  </w:style>
  <w:style w:type="character" w:customStyle="1" w:styleId="FooterChar">
    <w:name w:val="Footer Char"/>
    <w:basedOn w:val="DefaultParagraphFont"/>
    <w:link w:val="Footer"/>
    <w:uiPriority w:val="99"/>
    <w:rsid w:val="00820D0F"/>
    <w:rPr>
      <w:kern w:val="24"/>
      <w:szCs w:val="24"/>
    </w:rPr>
  </w:style>
  <w:style w:type="paragraph" w:styleId="ListParagraph">
    <w:name w:val="List Paragraph"/>
    <w:basedOn w:val="Normal"/>
    <w:uiPriority w:val="34"/>
    <w:qFormat/>
    <w:rsid w:val="00B6207F"/>
    <w:pPr>
      <w:ind w:left="720"/>
      <w:contextualSpacing/>
    </w:pPr>
  </w:style>
  <w:style w:type="paragraph" w:customStyle="1" w:styleId="WCPageNumber">
    <w:name w:val="WCPageNumber"/>
    <w:basedOn w:val="Normal"/>
    <w:link w:val="WCPageNumberChar"/>
    <w:rsid w:val="00820D0F"/>
    <w:pPr>
      <w:tabs>
        <w:tab w:val="center" w:pos="4680"/>
      </w:tabs>
      <w:suppressAutoHyphens/>
      <w:jc w:val="center"/>
    </w:pPr>
    <w:rPr>
      <w:b/>
      <w:szCs w:val="22"/>
    </w:rPr>
  </w:style>
  <w:style w:type="character" w:customStyle="1" w:styleId="WCPageNumberChar">
    <w:name w:val="WCPageNumber Char"/>
    <w:basedOn w:val="DefaultParagraphFont"/>
    <w:link w:val="WCPageNumber"/>
    <w:rsid w:val="00820D0F"/>
    <w:rPr>
      <w:b/>
      <w:kern w:val="24"/>
      <w:sz w:val="24"/>
      <w:szCs w:val="22"/>
    </w:rPr>
  </w:style>
  <w:style w:type="paragraph" w:customStyle="1" w:styleId="DraftLineWC">
    <w:name w:val="DraftLineW&amp;C"/>
    <w:basedOn w:val="Normal"/>
    <w:uiPriority w:val="99"/>
    <w:semiHidden/>
    <w:rsid w:val="00570E0E"/>
    <w:pPr>
      <w:framePr w:w="5328" w:hSpace="187" w:vSpace="187" w:wrap="around" w:vAnchor="page" w:hAnchor="page" w:x="5761" w:y="721"/>
      <w:jc w:val="right"/>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3405</Words>
  <Characters>18540</Characters>
  <Application>Microsoft Office Word</Application>
  <DocSecurity>0</DocSecurity>
  <Lines>927</Lines>
  <Paragraphs>1044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Quintero, Tyler</dc:creator>
  <cp:keywords/>
  <cp:lastModifiedBy>White &amp; Case User</cp:lastModifiedBy>
  <cp:revision>3</cp:revision>
  <cp:lastPrinted>2019-05-06T16:49:00Z</cp:lastPrinted>
  <dcterms:created xsi:type="dcterms:W3CDTF">2022-04-29T04:31:00Z</dcterms:created>
  <dcterms:modified xsi:type="dcterms:W3CDTF">2022-04-29T04:32:00Z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RT_DocNumber">
    <vt:lpwstr>35618433</vt:lpwstr>
  </property>
  <property fmtid="{D5CDD505-2E9C-101B-9397-08002B2CF9AE}" pid="4" name="NRT_DocVersion">
    <vt:lpwstr>3</vt:lpwstr>
  </property>
  <property fmtid="{D5CDD505-2E9C-101B-9397-08002B2CF9AE}" pid="5" name="NRT_DocName">
    <vt:lpwstr>Project Harvest  - Insider Trading Policy</vt:lpwstr>
  </property>
  <property fmtid="{D5CDD505-2E9C-101B-9397-08002B2CF9AE}" pid="6" name="NRT_AuthorDescription">
    <vt:lpwstr>Zhou, Yuning</vt:lpwstr>
  </property>
  <property fmtid="{D5CDD505-2E9C-101B-9397-08002B2CF9AE}" pid="7" name="NRT_Author">
    <vt:lpwstr>ZHOUYUN</vt:lpwstr>
  </property>
  <property fmtid="{D5CDD505-2E9C-101B-9397-08002B2CF9AE}" pid="8" name="NRT_Operator">
    <vt:lpwstr>zhouyun</vt:lpwstr>
  </property>
  <property fmtid="{D5CDD505-2E9C-101B-9397-08002B2CF9AE}" pid="9" name="NRT_Database">
    <vt:lpwstr>ASIA</vt:lpwstr>
  </property>
  <property fmtid="{D5CDD505-2E9C-101B-9397-08002B2CF9AE}" pid="10" name="NRT_ELITE_CLIENT">
    <vt:lpwstr>1175401</vt:lpwstr>
  </property>
  <property fmtid="{D5CDD505-2E9C-101B-9397-08002B2CF9AE}" pid="11" name="NRT_ELITE_MATTER">
    <vt:lpwstr>0002</vt:lpwstr>
  </property>
  <property fmtid="{D5CDD505-2E9C-101B-9397-08002B2CF9AE}" pid="12" name="pDocRef">
    <vt:lpwstr>1175401-0002.ZHOUYUN</vt:lpwstr>
  </property>
  <property fmtid="{D5CDD505-2E9C-101B-9397-08002B2CF9AE}" pid="13" name="pDocNumber">
    <vt:lpwstr>35618433_3 [ASIA]</vt:lpwstr>
  </property>
  <property fmtid="{D5CDD505-2E9C-101B-9397-08002B2CF9AE}" pid="14" name="WC_LAST_MODIFIED">
    <vt:lpwstr>4/29/2022 12:31:39 PM</vt:lpwstr>
  </property>
  <property fmtid="{D5CDD505-2E9C-101B-9397-08002B2CF9AE}" pid="15" name="WCFooterVersion">
    <vt:i4>1</vt:i4>
  </property>
  <property fmtid="{D5CDD505-2E9C-101B-9397-08002B2CF9AE}" pid="16" name="SuppressFooterUpdate">
    <vt:bool>true</vt:bool>
  </property>
</Properties>
</file>